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Prawo zamówień publicznych (dalej jako: </w:t>
      </w:r>
      <w:proofErr w:type="spellStart"/>
      <w:r w:rsidRPr="00146D82">
        <w:rPr>
          <w:b/>
          <w:bCs/>
          <w:sz w:val="22"/>
          <w:szCs w:val="22"/>
        </w:rPr>
        <w:t>Pzp</w:t>
      </w:r>
      <w:proofErr w:type="spellEnd"/>
      <w:r w:rsidRPr="00146D82">
        <w:rPr>
          <w:b/>
          <w:bCs/>
          <w:sz w:val="22"/>
          <w:szCs w:val="22"/>
        </w:rPr>
        <w:t>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0916C1BF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r w:rsidRPr="00F734FF">
        <w:rPr>
          <w:b/>
          <w:bCs/>
          <w:i/>
          <w:iCs/>
          <w:sz w:val="22"/>
          <w:szCs w:val="22"/>
        </w:rPr>
        <w:t xml:space="preserve">Sukcesywne dostawy profili aluminiowych oraz </w:t>
      </w:r>
      <w:proofErr w:type="spellStart"/>
      <w:r w:rsidRPr="00F734FF">
        <w:rPr>
          <w:b/>
          <w:bCs/>
          <w:i/>
          <w:iCs/>
          <w:sz w:val="22"/>
          <w:szCs w:val="22"/>
        </w:rPr>
        <w:t>akcesorii</w:t>
      </w:r>
      <w:proofErr w:type="spellEnd"/>
      <w:r w:rsidRPr="00F734FF">
        <w:rPr>
          <w:b/>
          <w:bCs/>
          <w:i/>
          <w:iCs/>
          <w:sz w:val="22"/>
          <w:szCs w:val="22"/>
        </w:rPr>
        <w:t>, uszczelek, okuć i elementów złącznych dla Mazowieckiej Instytucji Gospodarki Budżetowej Mazovia, z podziałem na dwie części</w:t>
      </w:r>
      <w:bookmarkEnd w:id="0"/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1/04/2021/D</w:t>
      </w:r>
      <w:r>
        <w:rPr>
          <w:b/>
          <w:sz w:val="22"/>
          <w:szCs w:val="22"/>
        </w:rPr>
        <w:t xml:space="preserve">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B31E6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6D62FB"/>
    <w:rsid w:val="00B3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2021-04-07T09:59:00Z</dcterms:created>
  <dcterms:modified xsi:type="dcterms:W3CDTF">2021-04-07T10:02:00Z</dcterms:modified>
</cp:coreProperties>
</file>