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miniPortalu,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ePUAP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zwaną dalej Pzp</w:t>
      </w:r>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611325DD"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AC359C" w:rsidRPr="00AC359C">
        <w:rPr>
          <w:b/>
          <w:bCs/>
          <w:i/>
          <w:iCs/>
          <w:sz w:val="22"/>
          <w:szCs w:val="22"/>
        </w:rPr>
        <w:t>Sukcesywna dostawa papierosów, wyrobów tytoniowych i zapalniczek dla Mazowieckiej Instytucji Gospodarki Budżetowej Mazovia w podziale na czternaście części</w:t>
      </w:r>
      <w:r w:rsidRPr="00F734FF">
        <w:rPr>
          <w:rFonts w:eastAsia="Arial"/>
          <w:b/>
          <w:bCs/>
          <w:i/>
          <w:iCs/>
          <w:sz w:val="22"/>
          <w:szCs w:val="22"/>
          <w:lang w:bidi="pl-PL"/>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47D5C402"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DB4C0E">
        <w:rPr>
          <w:rFonts w:eastAsia="Tahoma"/>
          <w:b/>
          <w:bCs/>
          <w:sz w:val="24"/>
          <w:szCs w:val="24"/>
          <w:lang w:bidi="pl-PL"/>
        </w:rPr>
        <w:t>4</w:t>
      </w:r>
      <w:r w:rsidRPr="00F734FF">
        <w:rPr>
          <w:rFonts w:eastAsia="Tahoma"/>
          <w:b/>
          <w:bCs/>
          <w:sz w:val="24"/>
          <w:szCs w:val="24"/>
          <w:lang w:bidi="pl-PL"/>
        </w:rPr>
        <w:t>/0</w:t>
      </w:r>
      <w:r w:rsidR="00DB4C0E">
        <w:rPr>
          <w:rFonts w:eastAsia="Tahoma"/>
          <w:b/>
          <w:bCs/>
          <w:sz w:val="24"/>
          <w:szCs w:val="24"/>
          <w:lang w:bidi="pl-PL"/>
        </w:rPr>
        <w:t>9</w:t>
      </w:r>
      <w:r w:rsidRPr="00F734FF">
        <w:rPr>
          <w:rFonts w:eastAsia="Tahoma"/>
          <w:b/>
          <w:bCs/>
          <w:sz w:val="24"/>
          <w:szCs w:val="24"/>
          <w:lang w:bidi="pl-PL"/>
        </w:rPr>
        <w:t>/2021/D</w:t>
      </w:r>
    </w:p>
    <w:p w14:paraId="3A8B0BAF" w14:textId="11026442" w:rsidR="00D46DCC" w:rsidRPr="009D0424" w:rsidRDefault="00B64271" w:rsidP="00D77B92">
      <w:pPr>
        <w:widowControl w:val="0"/>
        <w:spacing w:after="720"/>
        <w:jc w:val="center"/>
        <w:rPr>
          <w:rFonts w:eastAsia="Tahoma"/>
          <w:b/>
          <w:bCs/>
          <w:color w:val="FF0000"/>
          <w:sz w:val="24"/>
          <w:szCs w:val="24"/>
          <w:lang w:bidi="pl-PL"/>
        </w:rPr>
      </w:pPr>
      <w:r w:rsidRPr="009D0424">
        <w:rPr>
          <w:rFonts w:eastAsia="Tahoma"/>
          <w:b/>
          <w:bCs/>
          <w:color w:val="FF0000"/>
          <w:sz w:val="24"/>
          <w:szCs w:val="24"/>
          <w:lang w:bidi="pl-PL"/>
        </w:rPr>
        <w:t xml:space="preserve">Identyfikator postępowania (ID) </w:t>
      </w:r>
      <w:r w:rsidR="00102B9A" w:rsidRPr="00102B9A">
        <w:rPr>
          <w:rFonts w:eastAsia="Tahoma"/>
          <w:b/>
          <w:bCs/>
          <w:color w:val="FF0000"/>
          <w:sz w:val="24"/>
          <w:szCs w:val="24"/>
          <w:lang w:bidi="pl-PL"/>
        </w:rPr>
        <w:t>30b7bd9d-e03b-40d0-8e0c-233c3f598919</w:t>
      </w:r>
    </w:p>
    <w:p w14:paraId="3122E628" w14:textId="77777777" w:rsidR="00FB4F67" w:rsidRDefault="00FB4F67" w:rsidP="006854A7">
      <w:pPr>
        <w:jc w:val="center"/>
        <w:rPr>
          <w:b/>
          <w:sz w:val="22"/>
          <w:szCs w:val="22"/>
        </w:rPr>
      </w:pPr>
    </w:p>
    <w:p w14:paraId="2D52520B" w14:textId="77777777" w:rsidR="00FB4F67" w:rsidRDefault="00FB4F67" w:rsidP="006854A7">
      <w:pPr>
        <w:jc w:val="center"/>
        <w:rPr>
          <w:b/>
          <w:sz w:val="22"/>
          <w:szCs w:val="22"/>
        </w:rPr>
      </w:pPr>
    </w:p>
    <w:p w14:paraId="1B898131" w14:textId="35ED32A9" w:rsidR="00FB4F67" w:rsidRDefault="00FB4F67" w:rsidP="006854A7">
      <w:pPr>
        <w:jc w:val="center"/>
        <w:rPr>
          <w:b/>
          <w:sz w:val="22"/>
          <w:szCs w:val="22"/>
        </w:rPr>
      </w:pPr>
    </w:p>
    <w:p w14:paraId="67BD4A32" w14:textId="77777777" w:rsidR="008E40E5" w:rsidRDefault="008E40E5" w:rsidP="006854A7">
      <w:pPr>
        <w:jc w:val="center"/>
        <w:rPr>
          <w:b/>
          <w:sz w:val="22"/>
          <w:szCs w:val="22"/>
        </w:rPr>
      </w:pPr>
    </w:p>
    <w:p w14:paraId="4E0C53C4" w14:textId="77777777" w:rsidR="00FB4F67" w:rsidRDefault="00FB4F67" w:rsidP="006854A7">
      <w:pPr>
        <w:jc w:val="cente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0"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5"/>
      <w:bookmarkEnd w:id="6"/>
      <w:bookmarkEnd w:id="7"/>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4557C618"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AC359C">
        <w:rPr>
          <w:b/>
          <w:bCs/>
          <w:sz w:val="22"/>
          <w:szCs w:val="22"/>
          <w:lang w:val="pl-PL"/>
        </w:rPr>
        <w:t>4</w:t>
      </w:r>
      <w:r w:rsidR="00F734FF" w:rsidRPr="001A468D">
        <w:rPr>
          <w:b/>
          <w:bCs/>
          <w:sz w:val="22"/>
          <w:szCs w:val="22"/>
          <w:lang w:val="pl-PL"/>
        </w:rPr>
        <w:t>/0</w:t>
      </w:r>
      <w:r w:rsidR="00AC359C">
        <w:rPr>
          <w:b/>
          <w:bCs/>
          <w:sz w:val="22"/>
          <w:szCs w:val="22"/>
          <w:lang w:val="pl-PL"/>
        </w:rPr>
        <w:t>9</w:t>
      </w:r>
      <w:r w:rsidRPr="001A468D">
        <w:rPr>
          <w:b/>
          <w:bCs/>
          <w:sz w:val="22"/>
          <w:szCs w:val="22"/>
          <w:lang w:val="pl-PL"/>
        </w:rPr>
        <w:t>/20</w:t>
      </w:r>
      <w:r w:rsidR="00200594" w:rsidRPr="001A468D">
        <w:rPr>
          <w:b/>
          <w:bCs/>
          <w:sz w:val="22"/>
          <w:szCs w:val="22"/>
          <w:lang w:val="pl-PL"/>
        </w:rPr>
        <w:t>2</w:t>
      </w:r>
      <w:r w:rsidR="00A82E3B" w:rsidRPr="001A468D">
        <w:rPr>
          <w:b/>
          <w:bCs/>
          <w:sz w:val="22"/>
          <w:szCs w:val="22"/>
          <w:lang w:val="pl-PL"/>
        </w:rPr>
        <w:t>1</w:t>
      </w:r>
      <w:r w:rsidRPr="001A468D">
        <w:rPr>
          <w:b/>
          <w:bCs/>
          <w:sz w:val="22"/>
          <w:szCs w:val="22"/>
          <w:lang w:val="pl-PL"/>
        </w:rPr>
        <w:t>/D</w:t>
      </w:r>
      <w:r w:rsidRPr="00F734FF">
        <w:rPr>
          <w:sz w:val="22"/>
          <w:szCs w:val="22"/>
        </w:rPr>
        <w:t xml:space="preserve">, </w:t>
      </w:r>
    </w:p>
    <w:p w14:paraId="795393E6" w14:textId="77777777"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64271">
        <w:rPr>
          <w:rFonts w:eastAsia="Calibri"/>
          <w:b/>
          <w:bCs/>
          <w:sz w:val="22"/>
          <w:szCs w:val="22"/>
          <w:lang w:bidi="pl-PL"/>
        </w:rPr>
        <w:t>Rozdział III.</w:t>
      </w:r>
      <w:bookmarkEnd w:id="8"/>
      <w:bookmarkEnd w:id="9"/>
      <w:bookmarkEnd w:id="10"/>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B64271">
        <w:rPr>
          <w:rFonts w:eastAsia="Arial"/>
          <w:b/>
          <w:bCs/>
          <w:sz w:val="22"/>
          <w:szCs w:val="22"/>
          <w:lang w:bidi="pl-PL"/>
        </w:rPr>
        <w:t>Informacje ogólne</w:t>
      </w:r>
      <w:bookmarkEnd w:id="11"/>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miniPortalu,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ePUAPu,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1285C71D"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F734FF">
        <w:rPr>
          <w:rFonts w:eastAsia="Arial"/>
          <w:sz w:val="22"/>
          <w:szCs w:val="22"/>
          <w:lang w:bidi="pl-PL"/>
        </w:rPr>
        <w:t xml:space="preserve"> Monika Zakrzewska</w:t>
      </w:r>
      <w:r w:rsidRPr="00B64271">
        <w:rPr>
          <w:rFonts w:eastAsia="Arial"/>
          <w:sz w:val="22"/>
          <w:szCs w:val="22"/>
          <w:lang w:bidi="pl-PL"/>
        </w:rPr>
        <w:t>, email</w:t>
      </w:r>
      <w:r w:rsidR="00F734FF">
        <w:rPr>
          <w:rFonts w:eastAsia="Arial"/>
          <w:sz w:val="22"/>
          <w:szCs w:val="22"/>
          <w:lang w:bidi="pl-PL"/>
        </w:rPr>
        <w:t xml:space="preserve"> </w:t>
      </w:r>
      <w:r w:rsidR="00F734FF" w:rsidRPr="00F734FF">
        <w:rPr>
          <w:rFonts w:eastAsia="Arial"/>
          <w:sz w:val="22"/>
          <w:szCs w:val="22"/>
          <w:u w:val="single"/>
          <w:lang w:bidi="pl-PL"/>
        </w:rPr>
        <w:t>m.zakrzewska@igbmazovia.pl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ePUAP. Wykonawca posiadający konto na ePUAP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Regulaminie korzystania z systemu miniPortal</w:t>
      </w:r>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(ePUAP).</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Za datę przekazania oferty, wniosków, zawiadomień, dokumentów elektronicznych, oświadczeń lub elektronicznych kopii dokumentów lub oświadczeń oraz innych informacji przyjmuje się datę ich przekazania na ePUAP.</w:t>
      </w:r>
      <w:bookmarkStart w:id="15" w:name="bookmark10"/>
      <w:bookmarkEnd w:id="15"/>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formularza: „Formularz do </w:t>
      </w:r>
      <w:r w:rsidRPr="00B64271">
        <w:rPr>
          <w:rFonts w:eastAsia="Arial"/>
          <w:b/>
          <w:bCs/>
          <w:i/>
          <w:iCs/>
          <w:sz w:val="22"/>
          <w:szCs w:val="22"/>
          <w:lang w:bidi="pl-PL"/>
        </w:rPr>
        <w:lastRenderedPageBreak/>
        <w:t>komunikacji”</w:t>
      </w:r>
      <w:r w:rsidRPr="00B64271">
        <w:rPr>
          <w:rFonts w:eastAsia="Arial"/>
          <w:sz w:val="22"/>
          <w:szCs w:val="22"/>
          <w:lang w:bidi="pl-PL"/>
        </w:rPr>
        <w:t xml:space="preserve"> dostępnego na ePUAP oraz udostępnionego przez miniPortal. We wszelkiej korespondencji związanej z niniejszym postępowaniem Zamawiający i Wykonawcy posługują się numerem ogłoszenia (TED lub ID postępowania).</w:t>
      </w:r>
    </w:p>
    <w:p w14:paraId="277FBFD1" w14:textId="79BC2AC7"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F734FF" w:rsidRPr="00017944">
          <w:rPr>
            <w:rStyle w:val="Hipercze"/>
            <w:rFonts w:eastAsia="Arial"/>
            <w:sz w:val="22"/>
            <w:szCs w:val="22"/>
            <w:lang w:bidi="pl-PL"/>
          </w:rPr>
          <w:t>m.zakrzewska@igbmazovia.pl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24E58FD8"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wskazane w Rozdziale II S</w:t>
      </w:r>
      <w:r w:rsidR="009E6DA5">
        <w:rPr>
          <w:color w:val="000000"/>
          <w:sz w:val="22"/>
          <w:szCs w:val="22"/>
        </w:rPr>
        <w:t xml:space="preserve"> pkt. 16 </w:t>
      </w:r>
      <w:r w:rsidRPr="005A5F35">
        <w:rPr>
          <w:color w:val="000000"/>
          <w:sz w:val="22"/>
          <w:szCs w:val="22"/>
        </w:rPr>
        <w:t xml:space="preserve">WZ. </w:t>
      </w:r>
    </w:p>
    <w:p w14:paraId="443AAFEC" w14:textId="622DDAC2"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jest obowiązany udzielić wyjaśnień niezwłocznie, jednak nie później niż na 6 dni przed upływem terminu składania ofert albo nie później niż na 4 dni przed upływem terminu składania ofert w przypadku, o którym mowa w art. </w:t>
      </w:r>
      <w:hyperlink r:id="rId16" w:history="1">
        <w:r w:rsidRPr="005A5F35">
          <w:rPr>
            <w:rStyle w:val="Hipercze"/>
            <w:color w:val="auto"/>
            <w:sz w:val="22"/>
            <w:szCs w:val="22"/>
          </w:rPr>
          <w:t>138</w:t>
        </w:r>
      </w:hyperlink>
      <w:r w:rsidRPr="005A5F35">
        <w:rPr>
          <w:sz w:val="22"/>
          <w:szCs w:val="22"/>
        </w:rPr>
        <w:t xml:space="preserve"> ust. 2 pkt 2, pod warunkiem że wniosek o wyjaśnienie treści SWZ wpłynął do </w:t>
      </w:r>
      <w:r w:rsidR="009E6DA5" w:rsidRPr="005A5F35">
        <w:rPr>
          <w:sz w:val="22"/>
          <w:szCs w:val="22"/>
        </w:rPr>
        <w:t>Z</w:t>
      </w:r>
      <w:r w:rsidRPr="005A5F35">
        <w:rPr>
          <w:sz w:val="22"/>
          <w:szCs w:val="22"/>
        </w:rPr>
        <w:t>amawiającego nie później niż na odpowiednio 14 albo 7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Przedłużenie terminu składnia ofert, o którym mowa w pkt 7, nie wpływa na bieg terminu składnia wniosków o wyjaśnienie treści SWZ. </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4DCC0A54" w:rsidR="005A5F35" w:rsidRPr="005A5F35" w:rsidRDefault="005A5F35" w:rsidP="00CE7808">
      <w:pPr>
        <w:pStyle w:val="Akapitzlist"/>
        <w:numPr>
          <w:ilvl w:val="0"/>
          <w:numId w:val="58"/>
        </w:numPr>
        <w:ind w:left="284" w:hanging="284"/>
        <w:jc w:val="both"/>
        <w:rPr>
          <w:sz w:val="22"/>
          <w:szCs w:val="22"/>
        </w:rPr>
      </w:pPr>
      <w:r w:rsidRPr="005A5F35">
        <w:rPr>
          <w:sz w:val="22"/>
          <w:szCs w:val="22"/>
        </w:rPr>
        <w:t xml:space="preserve">Monika zakrzewska, e mail: </w:t>
      </w:r>
      <w:hyperlink r:id="rId20" w:history="1">
        <w:r w:rsidRPr="005A5F35">
          <w:rPr>
            <w:rStyle w:val="Hipercze"/>
            <w:sz w:val="22"/>
            <w:szCs w:val="22"/>
          </w:rPr>
          <w:t>m.zakrzewska@igbmazovia.pl</w:t>
        </w:r>
      </w:hyperlink>
      <w:r w:rsidRPr="005A5F35">
        <w:rPr>
          <w:sz w:val="22"/>
          <w:szCs w:val="22"/>
        </w:rPr>
        <w:t>  – dotyczy  procedury przetargowej</w:t>
      </w:r>
      <w:r w:rsidR="008E40E5">
        <w:rPr>
          <w:sz w:val="22"/>
          <w:szCs w:val="22"/>
          <w:lang w:val="pl-PL"/>
        </w:rPr>
        <w:t>,</w:t>
      </w:r>
    </w:p>
    <w:p w14:paraId="02710610" w14:textId="6C212A3D" w:rsidR="005A5F35" w:rsidRDefault="009E6DA5" w:rsidP="00CE7808">
      <w:pPr>
        <w:pStyle w:val="Akapitzlist"/>
        <w:numPr>
          <w:ilvl w:val="0"/>
          <w:numId w:val="58"/>
        </w:numPr>
        <w:ind w:left="284" w:hanging="284"/>
        <w:jc w:val="both"/>
        <w:rPr>
          <w:sz w:val="22"/>
          <w:szCs w:val="22"/>
        </w:rPr>
      </w:pPr>
      <w:r w:rsidRPr="009E6DA5">
        <w:rPr>
          <w:sz w:val="22"/>
          <w:szCs w:val="22"/>
          <w:lang w:val="pl-PL"/>
        </w:rPr>
        <w:t>Julia Bojanowska e mail</w:t>
      </w:r>
      <w:r w:rsidR="007C7BCE">
        <w:rPr>
          <w:sz w:val="22"/>
          <w:szCs w:val="22"/>
          <w:lang w:val="pl-PL"/>
        </w:rPr>
        <w:t xml:space="preserve">: </w:t>
      </w:r>
      <w:r w:rsidR="005A5F35" w:rsidRPr="009E6DA5">
        <w:rPr>
          <w:sz w:val="22"/>
          <w:szCs w:val="22"/>
        </w:rPr>
        <w:t xml:space="preserve">j.bojanowska@igbmazovia.pl  </w:t>
      </w:r>
      <w:r w:rsidRPr="009E6DA5">
        <w:rPr>
          <w:sz w:val="22"/>
          <w:szCs w:val="22"/>
        </w:rPr>
        <w:t xml:space="preserve">dotyczy opisu przedmiotu  zamówienia </w:t>
      </w:r>
      <w:r w:rsidR="00402446">
        <w:rPr>
          <w:sz w:val="22"/>
          <w:szCs w:val="22"/>
          <w:lang w:val="pl-PL"/>
        </w:rPr>
        <w:t>.</w:t>
      </w:r>
    </w:p>
    <w:p w14:paraId="21EBBF93" w14:textId="77777777" w:rsidR="00402446" w:rsidRPr="009E6DA5" w:rsidRDefault="00402446" w:rsidP="00402446">
      <w:pPr>
        <w:pStyle w:val="Akapitzlist"/>
        <w:ind w:left="284"/>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t>Rozdział IV.</w:t>
      </w:r>
      <w:bookmarkEnd w:id="21"/>
      <w:bookmarkEnd w:id="22"/>
      <w:bookmarkEnd w:id="23"/>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7A9ABA38" w:rsidR="00B64271" w:rsidRDefault="00B64271" w:rsidP="00402446">
      <w:pPr>
        <w:widowControl w:val="0"/>
        <w:numPr>
          <w:ilvl w:val="0"/>
          <w:numId w:val="56"/>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AC359C">
        <w:rPr>
          <w:bCs/>
          <w:i/>
          <w:iCs/>
          <w:sz w:val="22"/>
          <w:szCs w:val="22"/>
        </w:rPr>
        <w:t>dostawę papierosów, wyrobów tytoniowych i zapalniczek</w:t>
      </w:r>
      <w:r w:rsidR="00AC359C" w:rsidRPr="00AC359C">
        <w:rPr>
          <w:i/>
          <w:iCs/>
          <w:sz w:val="22"/>
          <w:szCs w:val="22"/>
        </w:rPr>
        <w:t xml:space="preserve"> dla Mazowieckiej Instytucji Gospodarki Budżetowej Mazovia w podziale na czternaście 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AC359C">
        <w:rPr>
          <w:rFonts w:eastAsia="Tahoma"/>
          <w:sz w:val="22"/>
          <w:szCs w:val="22"/>
          <w:lang w:bidi="pl-PL"/>
        </w:rPr>
        <w:t>4</w:t>
      </w:r>
      <w:r w:rsidR="00F734FF" w:rsidRPr="00F734FF">
        <w:rPr>
          <w:rFonts w:eastAsia="Tahoma"/>
          <w:sz w:val="22"/>
          <w:szCs w:val="22"/>
          <w:lang w:bidi="pl-PL"/>
        </w:rPr>
        <w:t>/0</w:t>
      </w:r>
      <w:r w:rsidR="00AC359C">
        <w:rPr>
          <w:rFonts w:eastAsia="Tahoma"/>
          <w:sz w:val="22"/>
          <w:szCs w:val="22"/>
          <w:lang w:bidi="pl-PL"/>
        </w:rPr>
        <w:t>9</w:t>
      </w:r>
      <w:r w:rsidR="00F734FF" w:rsidRPr="00F734FF">
        <w:rPr>
          <w:rFonts w:eastAsia="Tahoma"/>
          <w:sz w:val="22"/>
          <w:szCs w:val="22"/>
          <w:lang w:bidi="pl-PL"/>
        </w:rPr>
        <w:t>/2021/D</w:t>
      </w:r>
      <w:r w:rsidRPr="00F734FF">
        <w:rPr>
          <w:rFonts w:eastAsia="Tahoma"/>
          <w:sz w:val="22"/>
          <w:szCs w:val="22"/>
          <w:lang w:bidi="pl-PL"/>
        </w:rPr>
        <w:t xml:space="preserve">, prowadzone jest w trybie przetargu </w:t>
      </w:r>
      <w:r w:rsidRPr="00F734FF">
        <w:rPr>
          <w:rFonts w:eastAsia="Tahoma"/>
          <w:sz w:val="22"/>
          <w:szCs w:val="22"/>
          <w:lang w:bidi="pl-PL"/>
        </w:rPr>
        <w:lastRenderedPageBreak/>
        <w:t>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Pzp oraz wydanych na jej podstawie aktów wykonawczych.</w:t>
      </w: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64271">
        <w:rPr>
          <w:rFonts w:eastAsia="Calibri"/>
          <w:b/>
          <w:bCs/>
          <w:sz w:val="22"/>
          <w:szCs w:val="22"/>
          <w:lang w:bidi="pl-PL"/>
        </w:rPr>
        <w:t>Rozdział V.</w:t>
      </w:r>
      <w:bookmarkEnd w:id="24"/>
      <w:bookmarkEnd w:id="25"/>
      <w:bookmarkEnd w:id="26"/>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t>Zamawiający dopuszcza udział podwykonawców przy realizacji zamówienia.</w:t>
      </w:r>
      <w:bookmarkStart w:id="28" w:name="bookmark45"/>
      <w:bookmarkEnd w:id="28"/>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3B61ED12"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powoływał się, na zasadach określonych w art. 118 ust. 1 ustawy Pzp,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18489E3B"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5" w:name="bookmark52"/>
      <w:bookmarkEnd w:id="35"/>
      <w:r w:rsidRPr="00B64271">
        <w:rPr>
          <w:rFonts w:eastAsia="Tahoma"/>
          <w:b/>
          <w:bCs/>
          <w:sz w:val="22"/>
          <w:szCs w:val="22"/>
          <w:lang w:bidi="pl-PL"/>
        </w:rPr>
        <w:t>OPIS PRZEDMIOTU ZAMÓWIENIA</w:t>
      </w:r>
    </w:p>
    <w:p w14:paraId="63D97415" w14:textId="60AD4BB6" w:rsidR="0024105C" w:rsidRPr="008E40E5" w:rsidRDefault="00B64271" w:rsidP="00B55E69">
      <w:pPr>
        <w:widowControl w:val="0"/>
        <w:numPr>
          <w:ilvl w:val="0"/>
          <w:numId w:val="17"/>
        </w:numPr>
        <w:ind w:left="284" w:hanging="284"/>
        <w:jc w:val="both"/>
        <w:rPr>
          <w:rFonts w:eastAsia="Tahoma"/>
          <w:sz w:val="22"/>
          <w:szCs w:val="22"/>
          <w:lang w:bidi="pl-PL"/>
        </w:rPr>
      </w:pPr>
      <w:bookmarkStart w:id="36" w:name="bookmark53"/>
      <w:bookmarkStart w:id="37" w:name="_Hlk74735556"/>
      <w:bookmarkEnd w:id="36"/>
      <w:r w:rsidRPr="008E40E5">
        <w:rPr>
          <w:rFonts w:eastAsia="Tahoma"/>
          <w:sz w:val="22"/>
          <w:szCs w:val="22"/>
          <w:lang w:bidi="pl-PL"/>
        </w:rPr>
        <w:t xml:space="preserve">Przedmiotem zamówienia </w:t>
      </w:r>
      <w:bookmarkStart w:id="38" w:name="bookmark54"/>
      <w:bookmarkEnd w:id="38"/>
      <w:r w:rsidR="00AC359C" w:rsidRPr="0044384C">
        <w:rPr>
          <w:sz w:val="22"/>
          <w:szCs w:val="22"/>
        </w:rPr>
        <w:t xml:space="preserve">sukcesywna </w:t>
      </w:r>
      <w:r w:rsidR="00AC359C" w:rsidRPr="0044384C">
        <w:rPr>
          <w:bCs/>
          <w:sz w:val="22"/>
          <w:szCs w:val="22"/>
        </w:rPr>
        <w:t>dostawa papierosów, wyrobów tytoniowych i zapalniczek</w:t>
      </w:r>
      <w:r w:rsidR="00AC359C" w:rsidRPr="0044384C">
        <w:rPr>
          <w:sz w:val="22"/>
          <w:szCs w:val="22"/>
        </w:rPr>
        <w:t xml:space="preserve"> dla Mazowieckiej Instytucji Gospodarki Budżetowej Mazovia w podziale na czternaście części</w:t>
      </w:r>
      <w:r w:rsidR="008E40E5">
        <w:rPr>
          <w:sz w:val="22"/>
          <w:szCs w:val="22"/>
        </w:rPr>
        <w:t>.</w:t>
      </w:r>
      <w:r w:rsidR="008E40E5" w:rsidRPr="008E40E5">
        <w:rPr>
          <w:rFonts w:eastAsia="Tahoma"/>
          <w:sz w:val="22"/>
          <w:szCs w:val="22"/>
          <w:lang w:bidi="pl-PL"/>
        </w:rPr>
        <w:t xml:space="preserve"> </w:t>
      </w:r>
      <w:bookmarkEnd w:id="37"/>
      <w:r w:rsidRPr="008E40E5">
        <w:rPr>
          <w:rFonts w:eastAsia="Tahoma"/>
          <w:sz w:val="22"/>
          <w:szCs w:val="22"/>
          <w:lang w:bidi="pl-PL"/>
        </w:rPr>
        <w:t>Szczegółow</w:t>
      </w:r>
      <w:r w:rsidR="008E40E5">
        <w:rPr>
          <w:rFonts w:eastAsia="Tahoma"/>
          <w:sz w:val="22"/>
          <w:szCs w:val="22"/>
          <w:lang w:bidi="pl-PL"/>
        </w:rPr>
        <w:t>y</w:t>
      </w:r>
      <w:r w:rsidRPr="008E40E5">
        <w:rPr>
          <w:rFonts w:eastAsia="Tahoma"/>
          <w:sz w:val="22"/>
          <w:szCs w:val="22"/>
          <w:lang w:bidi="pl-PL"/>
        </w:rPr>
        <w:t xml:space="preserve"> </w:t>
      </w:r>
      <w:r w:rsidR="008E40E5">
        <w:rPr>
          <w:rFonts w:eastAsia="Tahoma"/>
          <w:sz w:val="22"/>
          <w:szCs w:val="22"/>
          <w:lang w:bidi="pl-PL"/>
        </w:rPr>
        <w:t xml:space="preserve">opis przedmiotu zamówienia oraz </w:t>
      </w:r>
      <w:r w:rsidRPr="008E40E5">
        <w:rPr>
          <w:rFonts w:eastAsia="Tahoma"/>
          <w:sz w:val="22"/>
          <w:szCs w:val="22"/>
          <w:lang w:bidi="pl-PL"/>
        </w:rPr>
        <w:t xml:space="preserve">wymagania dotyczące przedmiotu zamówienia zostały określone w </w:t>
      </w:r>
      <w:r w:rsidR="007E5946" w:rsidRPr="008E40E5">
        <w:rPr>
          <w:rFonts w:eastAsia="Tahoma"/>
          <w:b/>
          <w:bCs/>
          <w:i/>
          <w:iCs/>
          <w:sz w:val="22"/>
          <w:szCs w:val="22"/>
          <w:lang w:bidi="pl-PL"/>
        </w:rPr>
        <w:t>Z</w:t>
      </w:r>
      <w:r w:rsidRPr="008E40E5">
        <w:rPr>
          <w:rFonts w:eastAsia="Tahoma"/>
          <w:b/>
          <w:bCs/>
          <w:i/>
          <w:iCs/>
          <w:sz w:val="22"/>
          <w:szCs w:val="22"/>
          <w:lang w:bidi="pl-PL"/>
        </w:rPr>
        <w:t xml:space="preserve">ałączniku </w:t>
      </w:r>
      <w:r w:rsidR="007E5946" w:rsidRPr="008E40E5">
        <w:rPr>
          <w:rFonts w:eastAsia="Tahoma"/>
          <w:b/>
          <w:bCs/>
          <w:i/>
          <w:iCs/>
          <w:sz w:val="22"/>
          <w:szCs w:val="22"/>
          <w:lang w:bidi="pl-PL"/>
        </w:rPr>
        <w:t>N</w:t>
      </w:r>
      <w:r w:rsidRPr="008E40E5">
        <w:rPr>
          <w:rFonts w:eastAsia="Tahoma"/>
          <w:b/>
          <w:bCs/>
          <w:i/>
          <w:iCs/>
          <w:sz w:val="22"/>
          <w:szCs w:val="22"/>
          <w:lang w:bidi="pl-PL"/>
        </w:rPr>
        <w:t xml:space="preserve">r </w:t>
      </w:r>
      <w:r w:rsidR="0025721D" w:rsidRPr="008E40E5">
        <w:rPr>
          <w:rFonts w:eastAsia="Tahoma"/>
          <w:b/>
          <w:bCs/>
          <w:i/>
          <w:iCs/>
          <w:sz w:val="22"/>
          <w:szCs w:val="22"/>
          <w:lang w:bidi="pl-PL"/>
        </w:rPr>
        <w:t>2</w:t>
      </w:r>
      <w:r w:rsidRPr="008E40E5">
        <w:rPr>
          <w:rFonts w:eastAsia="Tahoma"/>
          <w:b/>
          <w:bCs/>
          <w:i/>
          <w:iCs/>
          <w:sz w:val="22"/>
          <w:szCs w:val="22"/>
          <w:lang w:bidi="pl-PL"/>
        </w:rPr>
        <w:t xml:space="preserve"> do SWZ</w:t>
      </w:r>
      <w:r w:rsidRPr="008E40E5">
        <w:rPr>
          <w:rFonts w:eastAsia="Tahoma"/>
          <w:sz w:val="22"/>
          <w:szCs w:val="22"/>
          <w:lang w:bidi="pl-PL"/>
        </w:rPr>
        <w:t>.</w:t>
      </w:r>
      <w:bookmarkStart w:id="39" w:name="bookmark55"/>
      <w:bookmarkEnd w:id="39"/>
    </w:p>
    <w:p w14:paraId="7B907D07" w14:textId="59CEBF06" w:rsidR="00AE2833" w:rsidRDefault="00B64271" w:rsidP="004C2263">
      <w:pPr>
        <w:widowControl w:val="0"/>
        <w:numPr>
          <w:ilvl w:val="0"/>
          <w:numId w:val="17"/>
        </w:numPr>
        <w:tabs>
          <w:tab w:val="left" w:pos="284"/>
        </w:tabs>
        <w:ind w:left="284" w:hanging="284"/>
        <w:jc w:val="both"/>
        <w:rPr>
          <w:rFonts w:eastAsia="Tahoma"/>
          <w:sz w:val="22"/>
          <w:szCs w:val="22"/>
          <w:lang w:bidi="pl-PL"/>
        </w:rPr>
      </w:pPr>
      <w:bookmarkStart w:id="40" w:name="bookmark60"/>
      <w:bookmarkEnd w:id="40"/>
      <w:r w:rsidRPr="00B64271">
        <w:rPr>
          <w:rFonts w:eastAsia="Tahoma"/>
          <w:sz w:val="22"/>
          <w:szCs w:val="22"/>
          <w:lang w:bidi="pl-PL"/>
        </w:rPr>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Pzp.</w:t>
      </w:r>
      <w:bookmarkStart w:id="41" w:name="bookmark61"/>
      <w:bookmarkEnd w:id="41"/>
    </w:p>
    <w:p w14:paraId="3F083962" w14:textId="71196A5A" w:rsidR="00225883" w:rsidRPr="00AE2833" w:rsidRDefault="00B64271" w:rsidP="004C2263">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2" w:name="bookmark62"/>
      <w:bookmarkEnd w:id="42"/>
    </w:p>
    <w:p w14:paraId="1CACEB4E" w14:textId="77777777" w:rsidR="00225883" w:rsidRPr="00AE283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 nie dopuszcza składania ofert wariantowych w rozumieniu art. 92 pkt. 1 ustawy Pzp.</w:t>
      </w:r>
      <w:bookmarkStart w:id="43" w:name="bookmark63"/>
      <w:bookmarkEnd w:id="43"/>
    </w:p>
    <w:p w14:paraId="4CABC934" w14:textId="6460DF10" w:rsidR="00225883" w:rsidRPr="00AE2833" w:rsidRDefault="00AE2833"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4" w:name="bookmark64"/>
      <w:bookmarkEnd w:id="44"/>
    </w:p>
    <w:p w14:paraId="33597F0A" w14:textId="4A665BBA"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5" w:name="bookmark65"/>
      <w:bookmarkEnd w:id="45"/>
      <w:r w:rsidR="0054343B">
        <w:rPr>
          <w:rFonts w:eastAsia="Tahoma"/>
          <w:sz w:val="22"/>
          <w:szCs w:val="22"/>
          <w:lang w:bidi="pl-PL"/>
        </w:rPr>
        <w:t>.</w:t>
      </w:r>
    </w:p>
    <w:p w14:paraId="0778CD29"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przewiduje zastosowanie procedury, o której mowa w art. 139 ust. 1 Ustawy Pzp.</w:t>
      </w:r>
      <w:bookmarkStart w:id="46" w:name="bookmark66"/>
      <w:bookmarkEnd w:id="46"/>
    </w:p>
    <w:p w14:paraId="4DCBDD24"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7" w:name="bookmark67"/>
      <w:bookmarkEnd w:id="47"/>
    </w:p>
    <w:p w14:paraId="6F56EF31" w14:textId="20EF836C" w:rsidR="00B64271" w:rsidRPr="00225883" w:rsidRDefault="00B64271" w:rsidP="004C2263">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68274582" w14:textId="77777777" w:rsidR="007E64FC" w:rsidRPr="000B5EA0" w:rsidRDefault="007E64FC" w:rsidP="007E64FC">
      <w:pPr>
        <w:numPr>
          <w:ilvl w:val="0"/>
          <w:numId w:val="17"/>
        </w:numPr>
        <w:suppressAutoHyphens/>
        <w:ind w:left="284" w:hanging="284"/>
        <w:contextualSpacing/>
        <w:jc w:val="both"/>
        <w:rPr>
          <w:sz w:val="22"/>
          <w:szCs w:val="22"/>
        </w:rPr>
      </w:pPr>
      <w:r w:rsidRPr="000B5EA0">
        <w:rPr>
          <w:sz w:val="22"/>
          <w:szCs w:val="22"/>
        </w:rPr>
        <w:t xml:space="preserve">Wykonawca ma możliwość wystawienia i przesłania faktury VAT z wyszczególnieniem produktów, ich ilości, ceny jednostkowej, kwoty vat, netto i brutto na </w:t>
      </w:r>
      <w:r w:rsidRPr="000B5EA0">
        <w:rPr>
          <w:b/>
          <w:bCs/>
          <w:sz w:val="22"/>
          <w:szCs w:val="22"/>
        </w:rPr>
        <w:t>Platformę Elektronicznego Fakturowania</w:t>
      </w:r>
      <w:r w:rsidRPr="000B5EA0">
        <w:rPr>
          <w:sz w:val="22"/>
          <w:szCs w:val="22"/>
        </w:rPr>
        <w:t>, na której Zamawiający posiada konto:</w:t>
      </w:r>
    </w:p>
    <w:p w14:paraId="45A28BAE" w14:textId="77777777" w:rsidR="007E64FC" w:rsidRPr="000B5EA0" w:rsidRDefault="007E64FC" w:rsidP="007E64FC">
      <w:pPr>
        <w:ind w:left="284" w:hanging="284"/>
        <w:contextualSpacing/>
        <w:jc w:val="both"/>
        <w:rPr>
          <w:sz w:val="22"/>
          <w:szCs w:val="22"/>
        </w:rPr>
      </w:pPr>
      <w:r w:rsidRPr="000B5EA0">
        <w:rPr>
          <w:b/>
          <w:bCs/>
          <w:sz w:val="22"/>
          <w:szCs w:val="22"/>
        </w:rPr>
        <w:t xml:space="preserve">     Rodzaj adresu PEF</w:t>
      </w:r>
      <w:r w:rsidRPr="000B5EA0">
        <w:rPr>
          <w:sz w:val="22"/>
          <w:szCs w:val="22"/>
        </w:rPr>
        <w:t xml:space="preserve"> –NIP 5222967596</w:t>
      </w:r>
    </w:p>
    <w:p w14:paraId="07D56AEE" w14:textId="77777777" w:rsidR="007E64FC" w:rsidRPr="000B5EA0" w:rsidRDefault="007E64FC" w:rsidP="007E64FC">
      <w:pPr>
        <w:ind w:left="284" w:hanging="284"/>
        <w:contextualSpacing/>
        <w:jc w:val="both"/>
        <w:rPr>
          <w:sz w:val="22"/>
          <w:szCs w:val="22"/>
        </w:rPr>
      </w:pPr>
      <w:r w:rsidRPr="000B5EA0">
        <w:rPr>
          <w:b/>
          <w:bCs/>
          <w:sz w:val="22"/>
          <w:szCs w:val="22"/>
        </w:rPr>
        <w:t xml:space="preserve">     Numer Adresu PEF</w:t>
      </w:r>
      <w:r w:rsidRPr="000B5EA0">
        <w:rPr>
          <w:sz w:val="22"/>
          <w:szCs w:val="22"/>
        </w:rPr>
        <w:t xml:space="preserve"> – 5222967596</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8" w:name="bookmark68"/>
      <w:bookmarkEnd w:id="48"/>
      <w:r w:rsidRPr="00B64271">
        <w:rPr>
          <w:rFonts w:eastAsia="Tahoma"/>
          <w:b/>
          <w:bCs/>
          <w:sz w:val="22"/>
          <w:szCs w:val="22"/>
          <w:lang w:bidi="pl-PL"/>
        </w:rPr>
        <w:t>TERMIN WYKONANIA UMOWY</w:t>
      </w:r>
    </w:p>
    <w:p w14:paraId="5EE3328B" w14:textId="78CEF351" w:rsidR="00B55E69" w:rsidRDefault="0054343B" w:rsidP="00402446">
      <w:pPr>
        <w:widowControl w:val="0"/>
        <w:tabs>
          <w:tab w:val="left" w:pos="284"/>
          <w:tab w:val="left" w:pos="9651"/>
        </w:tabs>
        <w:jc w:val="both"/>
        <w:rPr>
          <w:rFonts w:eastAsia="Tahoma"/>
          <w:sz w:val="22"/>
          <w:szCs w:val="22"/>
          <w:lang w:bidi="pl-PL"/>
        </w:rPr>
      </w:pPr>
      <w:bookmarkStart w:id="49" w:name="bookmark69"/>
      <w:bookmarkEnd w:id="49"/>
      <w:r w:rsidRPr="0000397A">
        <w:rPr>
          <w:rFonts w:eastAsia="Tahoma"/>
          <w:sz w:val="22"/>
          <w:szCs w:val="22"/>
          <w:lang w:bidi="pl-PL"/>
        </w:rPr>
        <w:t>Termin wykonania zamówienia:</w:t>
      </w:r>
      <w:r w:rsidR="0026278F" w:rsidRPr="0000397A">
        <w:rPr>
          <w:rFonts w:eastAsia="Tahoma"/>
          <w:sz w:val="22"/>
          <w:szCs w:val="22"/>
          <w:lang w:bidi="pl-PL"/>
        </w:rPr>
        <w:t>12 miesięcy od dnia podpisania umowy</w:t>
      </w:r>
    </w:p>
    <w:p w14:paraId="365961B6" w14:textId="77777777" w:rsidR="0000397A" w:rsidRPr="0000397A" w:rsidRDefault="0000397A" w:rsidP="0000397A">
      <w:pPr>
        <w:widowControl w:val="0"/>
        <w:tabs>
          <w:tab w:val="left" w:pos="284"/>
          <w:tab w:val="left" w:pos="9651"/>
        </w:tabs>
        <w:ind w:left="284"/>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0" w:name="bookmark71"/>
      <w:bookmarkStart w:id="51" w:name="bookmark72"/>
      <w:bookmarkStart w:id="52" w:name="bookmark73"/>
      <w:r w:rsidRPr="00B64271">
        <w:rPr>
          <w:rFonts w:eastAsia="Calibri"/>
          <w:b/>
          <w:bCs/>
          <w:sz w:val="22"/>
          <w:szCs w:val="22"/>
          <w:shd w:val="clear" w:color="auto" w:fill="FFFFFF"/>
          <w:lang w:bidi="pl-PL"/>
        </w:rPr>
        <w:t>Rozdział VII.</w:t>
      </w:r>
      <w:bookmarkEnd w:id="50"/>
      <w:bookmarkEnd w:id="51"/>
      <w:bookmarkEnd w:id="52"/>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4C2263">
      <w:pPr>
        <w:widowControl w:val="0"/>
        <w:numPr>
          <w:ilvl w:val="0"/>
          <w:numId w:val="19"/>
        </w:numPr>
        <w:tabs>
          <w:tab w:val="left" w:pos="284"/>
        </w:tabs>
        <w:ind w:left="284" w:hanging="284"/>
        <w:jc w:val="both"/>
        <w:rPr>
          <w:rFonts w:eastAsia="Tahoma"/>
          <w:sz w:val="22"/>
          <w:szCs w:val="22"/>
          <w:lang w:bidi="pl-PL"/>
        </w:rPr>
      </w:pPr>
      <w:bookmarkStart w:id="53" w:name="bookmark74"/>
      <w:bookmarkEnd w:id="53"/>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12317B64" w:rsidR="00D472F7"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 </w:t>
      </w:r>
      <w:r w:rsidR="007A2D35" w:rsidRPr="00A71736">
        <w:rPr>
          <w:rFonts w:eastAsia="Tahoma"/>
          <w:sz w:val="22"/>
          <w:szCs w:val="22"/>
          <w:lang w:bidi="pl-PL"/>
        </w:rPr>
        <w:t>1</w:t>
      </w:r>
      <w:r w:rsidR="00AC359C">
        <w:rPr>
          <w:rFonts w:eastAsia="Tahoma"/>
          <w:sz w:val="22"/>
          <w:szCs w:val="22"/>
          <w:lang w:bidi="pl-PL"/>
        </w:rPr>
        <w:t>10</w:t>
      </w:r>
      <w:r w:rsidRPr="00A71736">
        <w:rPr>
          <w:rFonts w:eastAsia="Tahoma"/>
          <w:sz w:val="22"/>
          <w:szCs w:val="22"/>
          <w:lang w:bidi="pl-PL"/>
        </w:rPr>
        <w:t xml:space="preserve"> 000,00 </w:t>
      </w:r>
      <w:r w:rsidR="00B64271" w:rsidRPr="00A71736">
        <w:rPr>
          <w:rFonts w:eastAsia="Tahoma"/>
          <w:sz w:val="22"/>
          <w:szCs w:val="22"/>
          <w:lang w:bidi="pl-PL"/>
        </w:rPr>
        <w:t>zł</w:t>
      </w:r>
      <w:bookmarkStart w:id="54" w:name="bookmark75"/>
      <w:bookmarkEnd w:id="54"/>
      <w:r w:rsidRPr="00A71736">
        <w:rPr>
          <w:rFonts w:eastAsia="Tahoma"/>
          <w:sz w:val="22"/>
          <w:szCs w:val="22"/>
          <w:lang w:bidi="pl-PL"/>
        </w:rPr>
        <w:t>,</w:t>
      </w:r>
    </w:p>
    <w:p w14:paraId="43A4C1E2" w14:textId="01510450" w:rsidR="000D5740"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Część 2- </w:t>
      </w:r>
      <w:r w:rsidR="00AC359C">
        <w:rPr>
          <w:rFonts w:eastAsia="Tahoma"/>
          <w:sz w:val="22"/>
          <w:szCs w:val="22"/>
          <w:lang w:bidi="pl-PL"/>
        </w:rPr>
        <w:t>41 0</w:t>
      </w:r>
      <w:r w:rsidRPr="00A71736">
        <w:rPr>
          <w:rFonts w:eastAsia="Tahoma"/>
          <w:sz w:val="22"/>
          <w:szCs w:val="22"/>
          <w:lang w:bidi="pl-PL"/>
        </w:rPr>
        <w:t>00,00 zł</w:t>
      </w:r>
    </w:p>
    <w:p w14:paraId="7A4B979E" w14:textId="46CC334D"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3- </w:t>
      </w:r>
      <w:r w:rsidR="003E3B77">
        <w:rPr>
          <w:rFonts w:eastAsia="Tahoma"/>
          <w:sz w:val="22"/>
          <w:szCs w:val="22"/>
          <w:lang w:bidi="pl-PL"/>
        </w:rPr>
        <w:t>37 000</w:t>
      </w:r>
      <w:r w:rsidRPr="00A71736">
        <w:rPr>
          <w:rFonts w:eastAsia="Tahoma"/>
          <w:sz w:val="22"/>
          <w:szCs w:val="22"/>
          <w:lang w:bidi="pl-PL"/>
        </w:rPr>
        <w:t>,00 zł</w:t>
      </w:r>
    </w:p>
    <w:p w14:paraId="63161AE7" w14:textId="3A2EB97A"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4- </w:t>
      </w:r>
      <w:r w:rsidR="003E3B77">
        <w:rPr>
          <w:rFonts w:eastAsia="Tahoma"/>
          <w:sz w:val="22"/>
          <w:szCs w:val="22"/>
          <w:lang w:bidi="pl-PL"/>
        </w:rPr>
        <w:t>68 000</w:t>
      </w:r>
      <w:r w:rsidRPr="00A71736">
        <w:rPr>
          <w:rFonts w:eastAsia="Tahoma"/>
          <w:sz w:val="22"/>
          <w:szCs w:val="22"/>
          <w:lang w:bidi="pl-PL"/>
        </w:rPr>
        <w:t>,00 zł</w:t>
      </w:r>
    </w:p>
    <w:p w14:paraId="16DAF1EE" w14:textId="4A8B2A5C"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5- </w:t>
      </w:r>
      <w:r w:rsidR="003E3B77">
        <w:rPr>
          <w:rFonts w:eastAsia="Tahoma"/>
          <w:sz w:val="22"/>
          <w:szCs w:val="22"/>
          <w:lang w:bidi="pl-PL"/>
        </w:rPr>
        <w:t>51 00</w:t>
      </w:r>
      <w:r w:rsidRPr="00A71736">
        <w:rPr>
          <w:rFonts w:eastAsia="Tahoma"/>
          <w:sz w:val="22"/>
          <w:szCs w:val="22"/>
          <w:lang w:bidi="pl-PL"/>
        </w:rPr>
        <w:t>0,00 zł</w:t>
      </w:r>
    </w:p>
    <w:p w14:paraId="30082281" w14:textId="2BE74A9F"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6- </w:t>
      </w:r>
      <w:r w:rsidR="003E3B77">
        <w:rPr>
          <w:rFonts w:eastAsia="Tahoma"/>
          <w:sz w:val="22"/>
          <w:szCs w:val="22"/>
          <w:lang w:bidi="pl-PL"/>
        </w:rPr>
        <w:t>22 00</w:t>
      </w:r>
      <w:r w:rsidRPr="00A71736">
        <w:rPr>
          <w:rFonts w:eastAsia="Tahoma"/>
          <w:sz w:val="22"/>
          <w:szCs w:val="22"/>
          <w:lang w:bidi="pl-PL"/>
        </w:rPr>
        <w:t>0,00 zł</w:t>
      </w:r>
    </w:p>
    <w:p w14:paraId="6CC03355" w14:textId="3E6CFFBE"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lastRenderedPageBreak/>
        <w:t xml:space="preserve">Część 7- </w:t>
      </w:r>
      <w:r w:rsidR="003E3B77">
        <w:rPr>
          <w:rFonts w:eastAsia="Tahoma"/>
          <w:sz w:val="22"/>
          <w:szCs w:val="22"/>
          <w:lang w:bidi="pl-PL"/>
        </w:rPr>
        <w:t>65 00</w:t>
      </w:r>
      <w:r w:rsidRPr="00A71736">
        <w:rPr>
          <w:rFonts w:eastAsia="Tahoma"/>
          <w:sz w:val="22"/>
          <w:szCs w:val="22"/>
          <w:lang w:bidi="pl-PL"/>
        </w:rPr>
        <w:t>0,00 zł</w:t>
      </w:r>
    </w:p>
    <w:p w14:paraId="450A5EC7" w14:textId="5FFE9F02"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Część 8- 1</w:t>
      </w:r>
      <w:r w:rsidR="003E3B77">
        <w:rPr>
          <w:rFonts w:eastAsia="Tahoma"/>
          <w:sz w:val="22"/>
          <w:szCs w:val="22"/>
          <w:lang w:bidi="pl-PL"/>
        </w:rPr>
        <w:t>27 00</w:t>
      </w:r>
      <w:r w:rsidRPr="00A71736">
        <w:rPr>
          <w:rFonts w:eastAsia="Tahoma"/>
          <w:sz w:val="22"/>
          <w:szCs w:val="22"/>
          <w:lang w:bidi="pl-PL"/>
        </w:rPr>
        <w:t>0,00 zł</w:t>
      </w:r>
    </w:p>
    <w:p w14:paraId="50D94975" w14:textId="1C47886F"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9- </w:t>
      </w:r>
      <w:r w:rsidR="003E3B77">
        <w:rPr>
          <w:rFonts w:eastAsia="Tahoma"/>
          <w:sz w:val="22"/>
          <w:szCs w:val="22"/>
          <w:lang w:bidi="pl-PL"/>
        </w:rPr>
        <w:t>50 00</w:t>
      </w:r>
      <w:r w:rsidRPr="00A71736">
        <w:rPr>
          <w:rFonts w:eastAsia="Tahoma"/>
          <w:sz w:val="22"/>
          <w:szCs w:val="22"/>
          <w:lang w:bidi="pl-PL"/>
        </w:rPr>
        <w:t>0,00 zł</w:t>
      </w:r>
    </w:p>
    <w:p w14:paraId="0343B53C" w14:textId="616672EA"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Część 10- 4</w:t>
      </w:r>
      <w:r w:rsidR="003E3B77">
        <w:rPr>
          <w:rFonts w:eastAsia="Tahoma"/>
          <w:sz w:val="22"/>
          <w:szCs w:val="22"/>
          <w:lang w:bidi="pl-PL"/>
        </w:rPr>
        <w:t>2 00</w:t>
      </w:r>
      <w:r w:rsidRPr="00A71736">
        <w:rPr>
          <w:rFonts w:eastAsia="Tahoma"/>
          <w:sz w:val="22"/>
          <w:szCs w:val="22"/>
          <w:lang w:bidi="pl-PL"/>
        </w:rPr>
        <w:t>0,00 zł</w:t>
      </w:r>
    </w:p>
    <w:p w14:paraId="60B74C26" w14:textId="715EC3AF"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11- </w:t>
      </w:r>
      <w:r w:rsidR="003E3B77">
        <w:rPr>
          <w:rFonts w:eastAsia="Tahoma"/>
          <w:sz w:val="22"/>
          <w:szCs w:val="22"/>
          <w:lang w:bidi="pl-PL"/>
        </w:rPr>
        <w:t>9</w:t>
      </w:r>
      <w:r w:rsidRPr="00A71736">
        <w:rPr>
          <w:rFonts w:eastAsia="Tahoma"/>
          <w:sz w:val="22"/>
          <w:szCs w:val="22"/>
          <w:lang w:bidi="pl-PL"/>
        </w:rPr>
        <w:t>1</w:t>
      </w:r>
      <w:r w:rsidR="003E3B77">
        <w:rPr>
          <w:rFonts w:eastAsia="Tahoma"/>
          <w:sz w:val="22"/>
          <w:szCs w:val="22"/>
          <w:lang w:bidi="pl-PL"/>
        </w:rPr>
        <w:t xml:space="preserve"> 00</w:t>
      </w:r>
      <w:r w:rsidRPr="00A71736">
        <w:rPr>
          <w:rFonts w:eastAsia="Tahoma"/>
          <w:sz w:val="22"/>
          <w:szCs w:val="22"/>
          <w:lang w:bidi="pl-PL"/>
        </w:rPr>
        <w:t>0,00 zł</w:t>
      </w:r>
    </w:p>
    <w:p w14:paraId="19FFAFE3" w14:textId="2FEF75CF"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12- </w:t>
      </w:r>
      <w:r w:rsidR="003E3B77">
        <w:rPr>
          <w:rFonts w:eastAsia="Tahoma"/>
          <w:sz w:val="22"/>
          <w:szCs w:val="22"/>
          <w:lang w:bidi="pl-PL"/>
        </w:rPr>
        <w:t>105 00</w:t>
      </w:r>
      <w:r w:rsidRPr="00A71736">
        <w:rPr>
          <w:rFonts w:eastAsia="Tahoma"/>
          <w:sz w:val="22"/>
          <w:szCs w:val="22"/>
          <w:lang w:bidi="pl-PL"/>
        </w:rPr>
        <w:t>0,00 zł</w:t>
      </w:r>
    </w:p>
    <w:p w14:paraId="1805199D" w14:textId="46CA3055"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13- </w:t>
      </w:r>
      <w:r w:rsidR="003E3B77">
        <w:rPr>
          <w:rFonts w:eastAsia="Tahoma"/>
          <w:sz w:val="22"/>
          <w:szCs w:val="22"/>
          <w:lang w:bidi="pl-PL"/>
        </w:rPr>
        <w:t>78 00</w:t>
      </w:r>
      <w:r w:rsidRPr="00A71736">
        <w:rPr>
          <w:rFonts w:eastAsia="Tahoma"/>
          <w:sz w:val="22"/>
          <w:szCs w:val="22"/>
          <w:lang w:bidi="pl-PL"/>
        </w:rPr>
        <w:t>0,00 zł</w:t>
      </w:r>
    </w:p>
    <w:p w14:paraId="7E9C7380" w14:textId="66C01403"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14- </w:t>
      </w:r>
      <w:r w:rsidR="003E3B77">
        <w:rPr>
          <w:rFonts w:eastAsia="Tahoma"/>
          <w:sz w:val="22"/>
          <w:szCs w:val="22"/>
          <w:lang w:bidi="pl-PL"/>
        </w:rPr>
        <w:t>76 00</w:t>
      </w:r>
      <w:r w:rsidRPr="00A71736">
        <w:rPr>
          <w:rFonts w:eastAsia="Tahoma"/>
          <w:sz w:val="22"/>
          <w:szCs w:val="22"/>
          <w:lang w:bidi="pl-PL"/>
        </w:rPr>
        <w:t>0,00 zł</w:t>
      </w:r>
    </w:p>
    <w:p w14:paraId="33AF79DB" w14:textId="501F6BDF" w:rsidR="00B64271" w:rsidRP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bookmarkStart w:id="55" w:name="bookmark76"/>
      <w:bookmarkEnd w:id="55"/>
      <w:r w:rsidRPr="00B64271">
        <w:rPr>
          <w:rFonts w:eastAsia="Tahoma"/>
          <w:sz w:val="22"/>
          <w:szCs w:val="22"/>
          <w:lang w:bidi="pl-PL"/>
        </w:rPr>
        <w:t>pieniądzu na konto bankowe wskazane w ust. 4,</w:t>
      </w:r>
      <w:bookmarkStart w:id="56" w:name="bookmark77"/>
      <w:bookmarkEnd w:id="56"/>
    </w:p>
    <w:p w14:paraId="7C8989C2"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7" w:name="bookmark78"/>
      <w:bookmarkEnd w:id="57"/>
    </w:p>
    <w:p w14:paraId="4E3ED061"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8" w:name="bookmark79"/>
      <w:bookmarkEnd w:id="58"/>
    </w:p>
    <w:p w14:paraId="68BBC41D" w14:textId="5ACD0309" w:rsidR="00B64271" w:rsidRP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4C2263">
      <w:pPr>
        <w:widowControl w:val="0"/>
        <w:numPr>
          <w:ilvl w:val="0"/>
          <w:numId w:val="19"/>
        </w:numPr>
        <w:tabs>
          <w:tab w:val="left" w:pos="284"/>
        </w:tabs>
        <w:ind w:left="284" w:hanging="284"/>
        <w:jc w:val="both"/>
        <w:rPr>
          <w:rFonts w:eastAsia="Tahoma"/>
          <w:sz w:val="22"/>
          <w:szCs w:val="22"/>
          <w:lang w:bidi="pl-PL"/>
        </w:rPr>
      </w:pPr>
      <w:bookmarkStart w:id="59" w:name="bookmark80"/>
      <w:bookmarkEnd w:id="59"/>
      <w:r w:rsidRPr="00B64271">
        <w:rPr>
          <w:rFonts w:eastAsia="Tahoma"/>
          <w:sz w:val="22"/>
          <w:szCs w:val="22"/>
          <w:lang w:bidi="pl-PL"/>
        </w:rPr>
        <w:t>Wadium należy wnieść przed upływem terminu składania ofert.</w:t>
      </w:r>
    </w:p>
    <w:p w14:paraId="17E59E1D" w14:textId="77777777" w:rsidR="00D472F7" w:rsidRDefault="00B64271" w:rsidP="004C2263">
      <w:pPr>
        <w:widowControl w:val="0"/>
        <w:numPr>
          <w:ilvl w:val="0"/>
          <w:numId w:val="19"/>
        </w:numPr>
        <w:tabs>
          <w:tab w:val="left" w:pos="284"/>
        </w:tabs>
        <w:ind w:left="284" w:hanging="284"/>
        <w:jc w:val="both"/>
        <w:rPr>
          <w:rFonts w:eastAsia="Tahoma"/>
          <w:sz w:val="22"/>
          <w:szCs w:val="22"/>
          <w:lang w:bidi="pl-PL"/>
        </w:rPr>
      </w:pPr>
      <w:bookmarkStart w:id="60" w:name="bookmark81"/>
      <w:bookmarkEnd w:id="60"/>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1" w:name="bookmark82"/>
      <w:bookmarkEnd w:id="61"/>
    </w:p>
    <w:p w14:paraId="634E83D2" w14:textId="510A3513"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2" w:name="bookmark83"/>
      <w:bookmarkEnd w:id="62"/>
    </w:p>
    <w:p w14:paraId="64C0C675" w14:textId="559F5598"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3E3B77">
        <w:rPr>
          <w:rFonts w:eastAsia="Tahoma"/>
          <w:b/>
          <w:bCs/>
          <w:sz w:val="22"/>
          <w:szCs w:val="22"/>
          <w:lang w:bidi="pl-PL"/>
        </w:rPr>
        <w:t>4</w:t>
      </w:r>
      <w:r w:rsidR="000D5740">
        <w:rPr>
          <w:rFonts w:eastAsia="Tahoma"/>
          <w:b/>
          <w:bCs/>
          <w:sz w:val="22"/>
          <w:szCs w:val="22"/>
          <w:lang w:bidi="pl-PL"/>
        </w:rPr>
        <w:t>/0</w:t>
      </w:r>
      <w:r w:rsidR="003E3B77">
        <w:rPr>
          <w:rFonts w:eastAsia="Tahoma"/>
          <w:b/>
          <w:bCs/>
          <w:sz w:val="22"/>
          <w:szCs w:val="22"/>
          <w:lang w:bidi="pl-PL"/>
        </w:rPr>
        <w:t>9</w:t>
      </w:r>
      <w:r w:rsidR="000D5740">
        <w:rPr>
          <w:rFonts w:eastAsia="Tahoma"/>
          <w:b/>
          <w:bCs/>
          <w:sz w:val="22"/>
          <w:szCs w:val="22"/>
          <w:lang w:bidi="pl-PL"/>
        </w:rPr>
        <w:t>/2021/D, Część ..</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3" w:name="bookmark84"/>
      <w:bookmarkEnd w:id="63"/>
    </w:p>
    <w:p w14:paraId="040C4BFB" w14:textId="753DC38B" w:rsidR="0054343B" w:rsidRPr="00CC0D13"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4" w:name="bookmark85"/>
      <w:bookmarkStart w:id="65" w:name="bookmark86"/>
      <w:bookmarkStart w:id="66" w:name="bookmark87"/>
      <w:r w:rsidRPr="00B64271">
        <w:rPr>
          <w:rFonts w:eastAsia="Calibri"/>
          <w:b/>
          <w:bCs/>
          <w:sz w:val="22"/>
          <w:szCs w:val="22"/>
          <w:lang w:bidi="pl-PL"/>
        </w:rPr>
        <w:t>Rozdział VIII.</w:t>
      </w:r>
      <w:bookmarkEnd w:id="64"/>
      <w:bookmarkEnd w:id="65"/>
      <w:bookmarkEnd w:id="66"/>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4C2263">
      <w:pPr>
        <w:widowControl w:val="0"/>
        <w:numPr>
          <w:ilvl w:val="0"/>
          <w:numId w:val="21"/>
        </w:numPr>
        <w:tabs>
          <w:tab w:val="left" w:pos="0"/>
          <w:tab w:val="left" w:pos="284"/>
        </w:tabs>
        <w:jc w:val="both"/>
        <w:rPr>
          <w:rFonts w:eastAsia="Tahoma"/>
          <w:sz w:val="22"/>
          <w:szCs w:val="22"/>
          <w:lang w:bidi="pl-PL"/>
        </w:rPr>
      </w:pPr>
      <w:bookmarkStart w:id="67" w:name="bookmark88"/>
      <w:bookmarkEnd w:id="67"/>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CE7808">
      <w:pPr>
        <w:pStyle w:val="Akapitzlist"/>
        <w:widowControl w:val="0"/>
        <w:numPr>
          <w:ilvl w:val="0"/>
          <w:numId w:val="48"/>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4C2263">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68" w:name="bookmark89"/>
      <w:bookmarkEnd w:id="68"/>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Pzp,</w:t>
      </w:r>
      <w:bookmarkStart w:id="69" w:name="bookmark90"/>
      <w:bookmarkEnd w:id="69"/>
    </w:p>
    <w:p w14:paraId="76D26B8C" w14:textId="1E8A2B71" w:rsidR="00B64271" w:rsidRPr="00D472F7" w:rsidRDefault="00B64271" w:rsidP="004C2263">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spełniają warunki udziału w postępowaniu o których mowa w art. 112 ust. 2, ustawy Pzp, dotyczące:</w:t>
      </w:r>
    </w:p>
    <w:p w14:paraId="0174C623"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0" w:name="bookmark91"/>
      <w:bookmarkEnd w:id="70"/>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4C2263">
      <w:pPr>
        <w:widowControl w:val="0"/>
        <w:numPr>
          <w:ilvl w:val="0"/>
          <w:numId w:val="23"/>
        </w:numPr>
        <w:tabs>
          <w:tab w:val="left" w:pos="709"/>
        </w:tabs>
        <w:ind w:left="284" w:hanging="284"/>
        <w:jc w:val="both"/>
        <w:rPr>
          <w:rFonts w:eastAsia="Tahoma"/>
          <w:sz w:val="22"/>
          <w:szCs w:val="22"/>
          <w:lang w:bidi="pl-PL"/>
        </w:rPr>
      </w:pPr>
      <w:bookmarkStart w:id="71" w:name="bookmark92"/>
      <w:bookmarkEnd w:id="71"/>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4C2263">
      <w:pPr>
        <w:pStyle w:val="Akapitzlist"/>
        <w:widowControl w:val="0"/>
        <w:numPr>
          <w:ilvl w:val="0"/>
          <w:numId w:val="23"/>
        </w:numPr>
        <w:ind w:left="284" w:hanging="284"/>
        <w:jc w:val="both"/>
        <w:rPr>
          <w:rFonts w:eastAsia="Tahoma"/>
          <w:sz w:val="22"/>
          <w:szCs w:val="22"/>
          <w:lang w:bidi="pl-PL"/>
        </w:rPr>
      </w:pPr>
      <w:r w:rsidRPr="00C22CE1">
        <w:rPr>
          <w:rFonts w:eastAsia="Tahoma"/>
          <w:sz w:val="22"/>
          <w:szCs w:val="22"/>
          <w:lang w:bidi="pl-PL"/>
        </w:rPr>
        <w:t xml:space="preserve">   </w:t>
      </w:r>
      <w:bookmarkStart w:id="72" w:name="bookmark93"/>
      <w:bookmarkEnd w:id="72"/>
      <w:r w:rsidR="00B64271" w:rsidRPr="00C22CE1">
        <w:rPr>
          <w:rFonts w:eastAsia="Tahoma"/>
          <w:b/>
          <w:bCs/>
          <w:sz w:val="22"/>
          <w:szCs w:val="22"/>
          <w:lang w:bidi="pl-PL"/>
        </w:rPr>
        <w:t>sytuacji ekonomicznej lub finansowej:</w:t>
      </w:r>
    </w:p>
    <w:p w14:paraId="2CB2DF23" w14:textId="146B3C40" w:rsidR="00C22CE1" w:rsidRPr="00C10DEF" w:rsidRDefault="00C10DEF" w:rsidP="007E5946">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w:t>
      </w:r>
      <w:bookmarkStart w:id="73"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 xml:space="preserve">działalności </w:t>
      </w:r>
      <w:r>
        <w:rPr>
          <w:sz w:val="22"/>
          <w:szCs w:val="22"/>
        </w:rPr>
        <w:t xml:space="preserve"> </w:t>
      </w:r>
      <w:r w:rsidR="00C22CE1" w:rsidRPr="00C22CE1">
        <w:rPr>
          <w:sz w:val="22"/>
          <w:szCs w:val="22"/>
        </w:rPr>
        <w:t xml:space="preserve"> związanej z przedmiotem zamówienia na kwotę min:</w:t>
      </w:r>
    </w:p>
    <w:p w14:paraId="74CE6624" w14:textId="4370C5B6" w:rsidR="00A0600F" w:rsidRPr="00A0600F" w:rsidRDefault="00A0600F" w:rsidP="00A0600F">
      <w:pPr>
        <w:rPr>
          <w:sz w:val="22"/>
          <w:szCs w:val="22"/>
        </w:rPr>
      </w:pPr>
      <w:r>
        <w:rPr>
          <w:sz w:val="22"/>
          <w:szCs w:val="22"/>
        </w:rPr>
        <w:t>C</w:t>
      </w:r>
      <w:r w:rsidRPr="00A0600F">
        <w:rPr>
          <w:sz w:val="22"/>
          <w:szCs w:val="22"/>
        </w:rPr>
        <w:t xml:space="preserve">zęść 1  - 110 000,00 </w:t>
      </w:r>
      <w:bookmarkStart w:id="74" w:name="_Hlk83904727"/>
      <w:r>
        <w:rPr>
          <w:sz w:val="22"/>
          <w:szCs w:val="22"/>
        </w:rPr>
        <w:t>zł</w:t>
      </w:r>
      <w:bookmarkEnd w:id="74"/>
    </w:p>
    <w:p w14:paraId="2D315CA7" w14:textId="21781F73" w:rsidR="00A0600F" w:rsidRPr="00A0600F" w:rsidRDefault="00A0600F" w:rsidP="00A0600F">
      <w:pPr>
        <w:rPr>
          <w:sz w:val="22"/>
          <w:szCs w:val="22"/>
        </w:rPr>
      </w:pPr>
      <w:r>
        <w:rPr>
          <w:sz w:val="22"/>
          <w:szCs w:val="22"/>
        </w:rPr>
        <w:t>C</w:t>
      </w:r>
      <w:r w:rsidRPr="00A0600F">
        <w:rPr>
          <w:sz w:val="22"/>
          <w:szCs w:val="22"/>
        </w:rPr>
        <w:t xml:space="preserve">zęść 2 - 41 000,00 </w:t>
      </w:r>
      <w:r>
        <w:rPr>
          <w:sz w:val="22"/>
          <w:szCs w:val="22"/>
        </w:rPr>
        <w:t>zł</w:t>
      </w:r>
    </w:p>
    <w:p w14:paraId="59BC49F5" w14:textId="02412423" w:rsidR="00A0600F" w:rsidRPr="00A0600F" w:rsidRDefault="00A0600F" w:rsidP="00A0600F">
      <w:pPr>
        <w:rPr>
          <w:sz w:val="22"/>
          <w:szCs w:val="22"/>
        </w:rPr>
      </w:pPr>
      <w:r>
        <w:rPr>
          <w:sz w:val="22"/>
          <w:szCs w:val="22"/>
        </w:rPr>
        <w:t>C</w:t>
      </w:r>
      <w:r w:rsidRPr="00A0600F">
        <w:rPr>
          <w:sz w:val="22"/>
          <w:szCs w:val="22"/>
        </w:rPr>
        <w:t xml:space="preserve">zęść 3 - 37 000,00 </w:t>
      </w:r>
      <w:r>
        <w:rPr>
          <w:sz w:val="22"/>
          <w:szCs w:val="22"/>
        </w:rPr>
        <w:t>zł</w:t>
      </w:r>
    </w:p>
    <w:p w14:paraId="276E2D4C" w14:textId="4B7F1A06" w:rsidR="00A0600F" w:rsidRPr="00A0600F" w:rsidRDefault="00A0600F" w:rsidP="00A0600F">
      <w:pPr>
        <w:rPr>
          <w:sz w:val="22"/>
          <w:szCs w:val="22"/>
        </w:rPr>
      </w:pPr>
      <w:r>
        <w:rPr>
          <w:sz w:val="22"/>
          <w:szCs w:val="22"/>
        </w:rPr>
        <w:t>C</w:t>
      </w:r>
      <w:r w:rsidRPr="00A0600F">
        <w:rPr>
          <w:sz w:val="22"/>
          <w:szCs w:val="22"/>
        </w:rPr>
        <w:t xml:space="preserve">zęść 4 - 68 000,00 </w:t>
      </w:r>
      <w:r>
        <w:rPr>
          <w:sz w:val="22"/>
          <w:szCs w:val="22"/>
        </w:rPr>
        <w:t>zł</w:t>
      </w:r>
    </w:p>
    <w:p w14:paraId="48CC88A9" w14:textId="6F8AFA28" w:rsidR="00A0600F" w:rsidRPr="00A0600F" w:rsidRDefault="00A0600F" w:rsidP="00A0600F">
      <w:pPr>
        <w:rPr>
          <w:sz w:val="22"/>
          <w:szCs w:val="22"/>
        </w:rPr>
      </w:pPr>
      <w:r>
        <w:rPr>
          <w:sz w:val="22"/>
          <w:szCs w:val="22"/>
        </w:rPr>
        <w:t>C</w:t>
      </w:r>
      <w:r w:rsidRPr="00A0600F">
        <w:rPr>
          <w:sz w:val="22"/>
          <w:szCs w:val="22"/>
        </w:rPr>
        <w:t xml:space="preserve">zęść 5 - 51 000,00 </w:t>
      </w:r>
      <w:r>
        <w:rPr>
          <w:sz w:val="22"/>
          <w:szCs w:val="22"/>
        </w:rPr>
        <w:t>zł</w:t>
      </w:r>
    </w:p>
    <w:p w14:paraId="69A3A33E" w14:textId="60080328" w:rsidR="00A0600F" w:rsidRPr="00A0600F" w:rsidRDefault="00A0600F" w:rsidP="00A0600F">
      <w:pPr>
        <w:rPr>
          <w:sz w:val="22"/>
          <w:szCs w:val="22"/>
        </w:rPr>
      </w:pPr>
      <w:r>
        <w:rPr>
          <w:sz w:val="22"/>
          <w:szCs w:val="22"/>
        </w:rPr>
        <w:t>C</w:t>
      </w:r>
      <w:r w:rsidRPr="00A0600F">
        <w:rPr>
          <w:sz w:val="22"/>
          <w:szCs w:val="22"/>
        </w:rPr>
        <w:t xml:space="preserve">zęść 6 - 22 000,00 </w:t>
      </w:r>
      <w:r>
        <w:rPr>
          <w:sz w:val="22"/>
          <w:szCs w:val="22"/>
        </w:rPr>
        <w:t>zł</w:t>
      </w:r>
    </w:p>
    <w:p w14:paraId="45BA7849" w14:textId="31A643D0" w:rsidR="00A0600F" w:rsidRPr="00A0600F" w:rsidRDefault="00A0600F" w:rsidP="00A0600F">
      <w:pPr>
        <w:rPr>
          <w:sz w:val="22"/>
          <w:szCs w:val="22"/>
        </w:rPr>
      </w:pPr>
      <w:r>
        <w:rPr>
          <w:sz w:val="22"/>
          <w:szCs w:val="22"/>
        </w:rPr>
        <w:t>C</w:t>
      </w:r>
      <w:r w:rsidRPr="00A0600F">
        <w:rPr>
          <w:sz w:val="22"/>
          <w:szCs w:val="22"/>
        </w:rPr>
        <w:t xml:space="preserve">zęść 7 - 65 000,00 </w:t>
      </w:r>
      <w:r>
        <w:rPr>
          <w:sz w:val="22"/>
          <w:szCs w:val="22"/>
        </w:rPr>
        <w:t>zł</w:t>
      </w:r>
    </w:p>
    <w:p w14:paraId="1DA55E8A" w14:textId="7E1C2961" w:rsidR="00A0600F" w:rsidRPr="00A0600F" w:rsidRDefault="00A0600F" w:rsidP="00A0600F">
      <w:pPr>
        <w:rPr>
          <w:sz w:val="22"/>
          <w:szCs w:val="22"/>
        </w:rPr>
      </w:pPr>
      <w:r>
        <w:rPr>
          <w:sz w:val="22"/>
          <w:szCs w:val="22"/>
        </w:rPr>
        <w:lastRenderedPageBreak/>
        <w:t>C</w:t>
      </w:r>
      <w:r w:rsidRPr="00A0600F">
        <w:rPr>
          <w:sz w:val="22"/>
          <w:szCs w:val="22"/>
        </w:rPr>
        <w:t xml:space="preserve">zęść 8 - 127 000,00 </w:t>
      </w:r>
      <w:r>
        <w:rPr>
          <w:sz w:val="22"/>
          <w:szCs w:val="22"/>
        </w:rPr>
        <w:t>zł</w:t>
      </w:r>
    </w:p>
    <w:p w14:paraId="6C289BB0" w14:textId="6CEDBC71" w:rsidR="00A0600F" w:rsidRPr="00A0600F" w:rsidRDefault="00A0600F" w:rsidP="00A0600F">
      <w:pPr>
        <w:rPr>
          <w:sz w:val="22"/>
          <w:szCs w:val="22"/>
        </w:rPr>
      </w:pPr>
      <w:r>
        <w:rPr>
          <w:sz w:val="22"/>
          <w:szCs w:val="22"/>
        </w:rPr>
        <w:t>C</w:t>
      </w:r>
      <w:r w:rsidRPr="00A0600F">
        <w:rPr>
          <w:sz w:val="22"/>
          <w:szCs w:val="22"/>
        </w:rPr>
        <w:t xml:space="preserve">zęść 9 - 50 000,00 </w:t>
      </w:r>
      <w:r>
        <w:rPr>
          <w:sz w:val="22"/>
          <w:szCs w:val="22"/>
        </w:rPr>
        <w:t>zł</w:t>
      </w:r>
    </w:p>
    <w:p w14:paraId="6CE99AAF" w14:textId="317A081E" w:rsidR="00A0600F" w:rsidRPr="00A0600F" w:rsidRDefault="00A0600F" w:rsidP="00A0600F">
      <w:pPr>
        <w:rPr>
          <w:sz w:val="22"/>
          <w:szCs w:val="22"/>
        </w:rPr>
      </w:pPr>
      <w:r>
        <w:rPr>
          <w:sz w:val="22"/>
          <w:szCs w:val="22"/>
        </w:rPr>
        <w:t>C</w:t>
      </w:r>
      <w:r w:rsidRPr="00A0600F">
        <w:rPr>
          <w:sz w:val="22"/>
          <w:szCs w:val="22"/>
        </w:rPr>
        <w:t xml:space="preserve">zęść 10 - 42 000,00 </w:t>
      </w:r>
      <w:r>
        <w:rPr>
          <w:sz w:val="22"/>
          <w:szCs w:val="22"/>
        </w:rPr>
        <w:t>zł</w:t>
      </w:r>
    </w:p>
    <w:p w14:paraId="58E00D34" w14:textId="291FC411" w:rsidR="00A0600F" w:rsidRPr="00A0600F" w:rsidRDefault="00A0600F" w:rsidP="00A0600F">
      <w:pPr>
        <w:rPr>
          <w:sz w:val="22"/>
          <w:szCs w:val="22"/>
        </w:rPr>
      </w:pPr>
      <w:r>
        <w:rPr>
          <w:sz w:val="22"/>
          <w:szCs w:val="22"/>
        </w:rPr>
        <w:t>C</w:t>
      </w:r>
      <w:r w:rsidRPr="00A0600F">
        <w:rPr>
          <w:sz w:val="22"/>
          <w:szCs w:val="22"/>
        </w:rPr>
        <w:t xml:space="preserve">zęść 11 - </w:t>
      </w:r>
      <w:bookmarkStart w:id="75" w:name="_Hlk83378194"/>
      <w:r w:rsidRPr="00A0600F">
        <w:rPr>
          <w:sz w:val="22"/>
          <w:szCs w:val="22"/>
        </w:rPr>
        <w:t xml:space="preserve">91 </w:t>
      </w:r>
      <w:bookmarkEnd w:id="75"/>
      <w:r w:rsidRPr="00A0600F">
        <w:rPr>
          <w:sz w:val="22"/>
          <w:szCs w:val="22"/>
        </w:rPr>
        <w:t xml:space="preserve">000,00 </w:t>
      </w:r>
      <w:r>
        <w:rPr>
          <w:sz w:val="22"/>
          <w:szCs w:val="22"/>
        </w:rPr>
        <w:t>zł</w:t>
      </w:r>
    </w:p>
    <w:p w14:paraId="266777CE" w14:textId="6F76FF8E" w:rsidR="00A0600F" w:rsidRPr="00A0600F" w:rsidRDefault="00A0600F" w:rsidP="00A0600F">
      <w:pPr>
        <w:rPr>
          <w:sz w:val="22"/>
          <w:szCs w:val="22"/>
        </w:rPr>
      </w:pPr>
      <w:r>
        <w:rPr>
          <w:sz w:val="22"/>
          <w:szCs w:val="22"/>
        </w:rPr>
        <w:t>C</w:t>
      </w:r>
      <w:r w:rsidRPr="00A0600F">
        <w:rPr>
          <w:sz w:val="22"/>
          <w:szCs w:val="22"/>
        </w:rPr>
        <w:t xml:space="preserve">zęść 12 - 105 000,00 </w:t>
      </w:r>
      <w:r>
        <w:rPr>
          <w:sz w:val="22"/>
          <w:szCs w:val="22"/>
        </w:rPr>
        <w:t>zł</w:t>
      </w:r>
    </w:p>
    <w:p w14:paraId="6A6BF399" w14:textId="75E53B91" w:rsidR="00A0600F" w:rsidRPr="00A0600F" w:rsidRDefault="00A0600F" w:rsidP="00A0600F">
      <w:pPr>
        <w:rPr>
          <w:sz w:val="22"/>
          <w:szCs w:val="22"/>
        </w:rPr>
      </w:pPr>
      <w:r>
        <w:rPr>
          <w:sz w:val="22"/>
          <w:szCs w:val="22"/>
        </w:rPr>
        <w:t>C</w:t>
      </w:r>
      <w:r w:rsidRPr="00A0600F">
        <w:rPr>
          <w:sz w:val="22"/>
          <w:szCs w:val="22"/>
        </w:rPr>
        <w:t xml:space="preserve">zęść 13 -  78 000,00 </w:t>
      </w:r>
      <w:r>
        <w:rPr>
          <w:sz w:val="22"/>
          <w:szCs w:val="22"/>
        </w:rPr>
        <w:t>zł</w:t>
      </w:r>
    </w:p>
    <w:p w14:paraId="4A6D25A6" w14:textId="524FC235" w:rsidR="00A0600F" w:rsidRPr="00A0600F" w:rsidRDefault="00A0600F" w:rsidP="00A0600F">
      <w:pPr>
        <w:rPr>
          <w:sz w:val="22"/>
          <w:szCs w:val="22"/>
        </w:rPr>
      </w:pPr>
      <w:r>
        <w:rPr>
          <w:sz w:val="22"/>
          <w:szCs w:val="22"/>
        </w:rPr>
        <w:t>C</w:t>
      </w:r>
      <w:r w:rsidRPr="00A0600F">
        <w:rPr>
          <w:sz w:val="22"/>
          <w:szCs w:val="22"/>
        </w:rPr>
        <w:t xml:space="preserve">zęść 14 -  76 000,00 </w:t>
      </w:r>
      <w:r>
        <w:rPr>
          <w:sz w:val="22"/>
          <w:szCs w:val="22"/>
        </w:rPr>
        <w:t>zł</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6" w:name="bookmark94"/>
      <w:bookmarkEnd w:id="73"/>
      <w:bookmarkEnd w:id="76"/>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150BB572" w:rsidR="00551996" w:rsidRPr="00551996"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77" w:name="_Hlk74829925"/>
      <w:r w:rsidR="00551996" w:rsidRPr="00551996">
        <w:rPr>
          <w:sz w:val="22"/>
          <w:szCs w:val="22"/>
        </w:rPr>
        <w:t xml:space="preserve">,  co najmniej </w:t>
      </w:r>
      <w:r w:rsidR="00E65799">
        <w:rPr>
          <w:sz w:val="22"/>
          <w:szCs w:val="22"/>
        </w:rPr>
        <w:t>dwóch</w:t>
      </w:r>
      <w:r w:rsidR="00551996" w:rsidRPr="00551996">
        <w:rPr>
          <w:sz w:val="22"/>
          <w:szCs w:val="22"/>
        </w:rPr>
        <w:t xml:space="preserve"> dostaw</w:t>
      </w:r>
      <w:r w:rsidR="001A468D">
        <w:rPr>
          <w:sz w:val="22"/>
          <w:szCs w:val="22"/>
        </w:rPr>
        <w:t>y</w:t>
      </w:r>
      <w:r w:rsidR="00551996" w:rsidRPr="00551996">
        <w:rPr>
          <w:sz w:val="22"/>
          <w:szCs w:val="22"/>
        </w:rPr>
        <w:t xml:space="preserve"> na każdą część o wartości nie mniejszej niż:</w:t>
      </w:r>
    </w:p>
    <w:p w14:paraId="499374B0" w14:textId="4260876E"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1 zamówienia dwóch dostaw papierosów, wyrobów tytoniowych i zapalniczek, na kwotę nie mniejszą niż 110 000,00 zł brutto każda,</w:t>
      </w:r>
    </w:p>
    <w:p w14:paraId="38F05BE7" w14:textId="0C38654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2 zamówienia dwóch dostaw papierosów, wyrobów tytoniowych i zapalniczek, na kwotę nie mniejszą niż 41 000,00 zł brutto każda,</w:t>
      </w:r>
    </w:p>
    <w:p w14:paraId="78029032" w14:textId="6A92E262"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3 zamówienia dwóch dostaw papierosów, wyrobów tytoniowych i zapalniczek, na kwotę nie mniejszą niż 37 000,00 zł brutto każda,</w:t>
      </w:r>
    </w:p>
    <w:p w14:paraId="1562C1DB" w14:textId="2003B846"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4 zamówienia dwóch dostaw papierosów, wyrobów tytoniowych i zapalniczek, na kwotę nie mniejszą niż 68 000,00 zł brutto każda,</w:t>
      </w:r>
    </w:p>
    <w:p w14:paraId="08B3B36C" w14:textId="49C113C5"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5 zamówienia dwóch dostaw papierosów, wyrobów tytoniowych i zapalniczek, na kwotę nie mniejszą niż 51 000,00 zł brutto każda,</w:t>
      </w:r>
    </w:p>
    <w:p w14:paraId="70F6E6EF" w14:textId="0F204B34"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6 zamówienia dwóch dostaw papierosów, wyrobów tytoniowych i zapalniczek, na kwotę nie mniejszą niż 22 000,00 zł brutto każda,</w:t>
      </w:r>
    </w:p>
    <w:p w14:paraId="4B066193" w14:textId="64F1CD2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7 zamówienia dwóch dostaw papierosów, wyrobów tytoniowych i zapalniczek, na kwotę nie mniejszą niż 65 000,00 zł brutto każda,</w:t>
      </w:r>
    </w:p>
    <w:p w14:paraId="4EDA1CE4" w14:textId="2B591589"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8 zamówienia dwóch dostaw papierosów, wyrobów tytoniowych i zapalniczek, na kwotę nie mniejszą niż 127 000,00 zł brutto każda,</w:t>
      </w:r>
    </w:p>
    <w:p w14:paraId="20934486" w14:textId="139BE89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9 zamówienia dwóch dostaw papierosów, wyrobów tytoniowych i zapalniczek, na kwotę nie mniejszą niż 50 000,00 zł brutto każda,</w:t>
      </w:r>
    </w:p>
    <w:p w14:paraId="4CB89F85" w14:textId="5F377938"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10 zamówienia dwóch dostaw papierosów, wyrobów tytoniowych i zapalniczek, na kwotę nie mniejszą niż 42 000,00 zł brutto każda,</w:t>
      </w:r>
    </w:p>
    <w:p w14:paraId="61CC9F29" w14:textId="6E323D4C"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11 zamówienia dwóch dostaw papierosów, wyrobów tytoniowych i zapalniczek, na kwotę nie mniejszą niż 91 000,00 zł brutto każda,</w:t>
      </w:r>
    </w:p>
    <w:p w14:paraId="0202CCAD" w14:textId="1866724A"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12 zamówienia dwóch dostaw papierosów, wyrobów tytoniowych i zapalniczek, na kwotę nie mniejszą niż 105 000,00 zł brutto każda,</w:t>
      </w:r>
    </w:p>
    <w:p w14:paraId="4072C816" w14:textId="2D3B4718"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13 zamówienia dwóch dostaw papierosów, wyrobów tytoniowych i zapalniczek, na kwotę nie mniejszą niż 78 000,00 zł brutto każda,</w:t>
      </w:r>
    </w:p>
    <w:p w14:paraId="0E72D987" w14:textId="56231EC3"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dla części 14 zamówienia dwóch dostaw papierosów, wyrobów tytoniowych i zapalniczek, na kwotę nie mniejszą niż 76 000,00 zł brutto każda.</w:t>
      </w:r>
    </w:p>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4C2263">
      <w:pPr>
        <w:widowControl w:val="0"/>
        <w:numPr>
          <w:ilvl w:val="0"/>
          <w:numId w:val="24"/>
        </w:numPr>
        <w:tabs>
          <w:tab w:val="left" w:pos="0"/>
          <w:tab w:val="left" w:pos="142"/>
        </w:tabs>
        <w:ind w:left="284" w:hanging="284"/>
        <w:jc w:val="both"/>
        <w:rPr>
          <w:rFonts w:eastAsia="Tahoma"/>
          <w:sz w:val="22"/>
          <w:szCs w:val="22"/>
          <w:lang w:bidi="pl-PL"/>
        </w:rPr>
      </w:pPr>
      <w:bookmarkStart w:id="78" w:name="bookmark95"/>
      <w:bookmarkEnd w:id="77"/>
      <w:bookmarkEnd w:id="78"/>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9" w:name="bookmark96"/>
      <w:bookmarkEnd w:id="79"/>
    </w:p>
    <w:p w14:paraId="16CDD74C" w14:textId="77777777"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0" w:name="bookmark97"/>
      <w:bookmarkEnd w:id="80"/>
    </w:p>
    <w:p w14:paraId="48217CE4" w14:textId="0583D4F9"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1" w:name="bookmark98"/>
      <w:bookmarkEnd w:id="81"/>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2" w:name="bookmark99"/>
      <w:bookmarkEnd w:id="82"/>
      <w:r w:rsidRPr="00B64271">
        <w:rPr>
          <w:rFonts w:eastAsia="Tahoma"/>
          <w:sz w:val="22"/>
          <w:szCs w:val="22"/>
          <w:lang w:bidi="pl-PL"/>
        </w:rPr>
        <w:t>zakres dostępnych Wykonawcy zasobów podmiotu udostępniającego zasoby;</w:t>
      </w:r>
    </w:p>
    <w:p w14:paraId="57FE1A28"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3" w:name="bookmark100"/>
      <w:bookmarkEnd w:id="83"/>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4" w:name="bookmark101"/>
      <w:bookmarkEnd w:id="84"/>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bookmarkStart w:id="85" w:name="bookmark102"/>
      <w:bookmarkEnd w:id="85"/>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6" w:name="bookmark103"/>
      <w:bookmarkEnd w:id="86"/>
    </w:p>
    <w:p w14:paraId="05264502"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7" w:name="bookmark104"/>
      <w:bookmarkEnd w:id="87"/>
    </w:p>
    <w:p w14:paraId="17FDFAE6"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Wykonawcy mogą wspólnie ubiegać się o udzielenie zamówienia, na zasadach określonych w art. 58 ustawy Pzp. Wykonawcy ubiegający się wspólnie o udzielenie zamówienia są zobowiązani do ustanowienia pełnomocnika do reprezentowania ich w postępowaniu albo reprezentowania w postępowaniu i zawarcia umowy w sprawie zamówienia publicznego.</w:t>
      </w:r>
      <w:bookmarkStart w:id="88" w:name="bookmark105"/>
      <w:bookmarkEnd w:id="88"/>
    </w:p>
    <w:p w14:paraId="0C148723" w14:textId="058F1085" w:rsidR="00AE2833"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 ustawy Pzp, na podstawie:</w:t>
      </w:r>
    </w:p>
    <w:p w14:paraId="3F121034" w14:textId="77777777" w:rsidR="00B64271" w:rsidRPr="00B64271" w:rsidRDefault="00B64271" w:rsidP="004C2263">
      <w:pPr>
        <w:widowControl w:val="0"/>
        <w:numPr>
          <w:ilvl w:val="0"/>
          <w:numId w:val="26"/>
        </w:numPr>
        <w:tabs>
          <w:tab w:val="left" w:pos="284"/>
        </w:tabs>
        <w:ind w:left="284" w:hanging="284"/>
        <w:jc w:val="both"/>
        <w:rPr>
          <w:rFonts w:eastAsia="Tahoma"/>
          <w:sz w:val="22"/>
          <w:szCs w:val="22"/>
          <w:lang w:bidi="pl-PL"/>
        </w:rPr>
      </w:pPr>
      <w:bookmarkStart w:id="89" w:name="bookmark106"/>
      <w:bookmarkEnd w:id="89"/>
      <w:r w:rsidRPr="00B64271">
        <w:rPr>
          <w:rFonts w:eastAsia="Tahoma"/>
          <w:sz w:val="22"/>
          <w:szCs w:val="22"/>
          <w:lang w:bidi="pl-PL"/>
        </w:rPr>
        <w:t>art. 108 ust. 1 pkt 1 Pzp Zamawiający wykluczy Wykonawcę będącego osobą fizyczną, którego prawomocnie skazano za przestępstwo:</w:t>
      </w:r>
    </w:p>
    <w:p w14:paraId="330461C6"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0" w:name="bookmark107"/>
      <w:bookmarkEnd w:id="90"/>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1" w:name="bookmark108"/>
      <w:bookmarkEnd w:id="91"/>
      <w:r w:rsidRPr="00B64271">
        <w:rPr>
          <w:rFonts w:eastAsia="Tahoma"/>
          <w:sz w:val="22"/>
          <w:szCs w:val="22"/>
          <w:lang w:bidi="pl-PL"/>
        </w:rPr>
        <w:t>handlu ludźmi, o którym mowa w art. 189a KK,</w:t>
      </w:r>
    </w:p>
    <w:p w14:paraId="71709C5C"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2" w:name="bookmark109"/>
      <w:bookmarkEnd w:id="92"/>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3" w:name="bookmark110"/>
      <w:bookmarkEnd w:id="93"/>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4" w:name="bookmark111"/>
      <w:bookmarkEnd w:id="94"/>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5" w:name="bookmark112"/>
      <w:bookmarkEnd w:id="95"/>
      <w:r w:rsidRPr="00B64271">
        <w:rPr>
          <w:rFonts w:eastAsia="Tahoma"/>
          <w:sz w:val="22"/>
          <w:szCs w:val="22"/>
          <w:lang w:bidi="pl-PL"/>
        </w:rPr>
        <w:t xml:space="preserve">powierzenia wykonywania pracy małoletniemu cudzoziemcowi, o którym mowa w art. 9 ust. 2 ustawy z dnia 15 czerwca 2012 r. o skutkach powierzania wykonywania pracy cudzoziemcom </w:t>
      </w:r>
      <w:r w:rsidRPr="00B64271">
        <w:rPr>
          <w:rFonts w:eastAsia="Tahoma"/>
          <w:sz w:val="22"/>
          <w:szCs w:val="22"/>
          <w:lang w:bidi="pl-PL"/>
        </w:rPr>
        <w:lastRenderedPageBreak/>
        <w:t>przebywającym wbrew przepisom na terytorium Rzeczypospolitej Polskiej (Dz. U. poz. 769),</w:t>
      </w:r>
    </w:p>
    <w:p w14:paraId="3A05E153"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6" w:name="bookmark113"/>
      <w:bookmarkEnd w:id="96"/>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7" w:name="bookmark114"/>
      <w:bookmarkEnd w:id="97"/>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8" w:name="bookmark115"/>
      <w:bookmarkEnd w:id="98"/>
      <w:r w:rsidRPr="00B64271">
        <w:rPr>
          <w:rFonts w:eastAsia="Tahoma"/>
          <w:sz w:val="22"/>
          <w:szCs w:val="22"/>
          <w:lang w:bidi="pl-PL"/>
        </w:rPr>
        <w:t>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w:t>
      </w:r>
    </w:p>
    <w:p w14:paraId="3226A476"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9" w:name="bookmark116"/>
      <w:bookmarkEnd w:id="99"/>
      <w:r w:rsidRPr="00B64271">
        <w:rPr>
          <w:rFonts w:eastAsia="Tahoma"/>
          <w:sz w:val="22"/>
          <w:szCs w:val="22"/>
          <w:lang w:bidi="pl-PL"/>
        </w:rPr>
        <w:t>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0" w:name="bookmark117"/>
      <w:bookmarkEnd w:id="100"/>
      <w:r w:rsidRPr="00B64271">
        <w:rPr>
          <w:rFonts w:eastAsia="Tahoma"/>
          <w:sz w:val="22"/>
          <w:szCs w:val="22"/>
          <w:lang w:bidi="pl-PL"/>
        </w:rPr>
        <w:t>art. 108 ust. 1 pkt 4 ustawy Pzp Zamawiający wykluczy Wykonawcę, wobec którego prawomocnie orzeczono zakaz ubiegania się o zamówienia publiczne;</w:t>
      </w:r>
    </w:p>
    <w:p w14:paraId="40530381" w14:textId="4B8C6FF1"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1" w:name="bookmark118"/>
      <w:bookmarkEnd w:id="101"/>
      <w:r w:rsidRPr="00B64271">
        <w:rPr>
          <w:rFonts w:eastAsia="Tahoma"/>
          <w:sz w:val="22"/>
          <w:szCs w:val="22"/>
          <w:lang w:bidi="pl-PL"/>
        </w:rPr>
        <w:t>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2" w:name="bookmark119"/>
      <w:bookmarkEnd w:id="102"/>
      <w:r w:rsidRPr="00B64271">
        <w:rPr>
          <w:rFonts w:eastAsia="Tahoma"/>
          <w:sz w:val="22"/>
          <w:szCs w:val="22"/>
          <w:lang w:bidi="pl-PL"/>
        </w:rPr>
        <w:t>art. 108 ust. 1 pkt 6 ustawy Pzp Zamawiający wykluczy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ze zm.),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03" w:name="bookmark120"/>
      <w:bookmarkEnd w:id="103"/>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Pzp w niniejszym postępowaniu </w:t>
      </w:r>
      <w:r w:rsidRPr="009926B9">
        <w:rPr>
          <w:rFonts w:eastAsia="Tahoma"/>
          <w:b/>
          <w:sz w:val="22"/>
          <w:szCs w:val="22"/>
          <w:lang w:bidi="pl-PL"/>
        </w:rPr>
        <w:t>nie występuje.</w:t>
      </w:r>
    </w:p>
    <w:p w14:paraId="05110721" w14:textId="38A79026" w:rsidR="00B64271" w:rsidRPr="00FE4B24" w:rsidRDefault="00B64271" w:rsidP="004C2263">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104" w:name="bookmark121"/>
      <w:bookmarkEnd w:id="104"/>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Pzp, </w:t>
      </w:r>
      <w:r w:rsidRPr="00FE4B24">
        <w:rPr>
          <w:rFonts w:eastAsia="Tahoma"/>
          <w:sz w:val="22"/>
          <w:szCs w:val="22"/>
          <w:lang w:bidi="pl-PL"/>
        </w:rPr>
        <w:t>na podstawie:</w:t>
      </w:r>
    </w:p>
    <w:p w14:paraId="794B2BF7"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05" w:name="bookmark122"/>
      <w:bookmarkEnd w:id="105"/>
      <w:r w:rsidRPr="00000340">
        <w:rPr>
          <w:rFonts w:eastAsia="Tahoma"/>
          <w:sz w:val="22"/>
          <w:szCs w:val="22"/>
          <w:lang w:bidi="pl-PL"/>
        </w:rPr>
        <w:t>art. 109 ust. 1 pkt 1 ustawy Pzp Zamawiający wykluczy Wykonawcę,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06" w:name="bookmark123"/>
      <w:bookmarkEnd w:id="106"/>
      <w:r w:rsidRPr="00000340">
        <w:rPr>
          <w:rFonts w:eastAsia="Tahoma"/>
          <w:sz w:val="22"/>
          <w:szCs w:val="22"/>
          <w:lang w:bidi="pl-PL"/>
        </w:rPr>
        <w:t>art. 109 ust. 1 pkt 4 ustawy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lastRenderedPageBreak/>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4C2263">
      <w:pPr>
        <w:widowControl w:val="0"/>
        <w:numPr>
          <w:ilvl w:val="0"/>
          <w:numId w:val="28"/>
        </w:numPr>
        <w:tabs>
          <w:tab w:val="left" w:pos="284"/>
        </w:tabs>
        <w:ind w:left="284" w:hanging="284"/>
        <w:jc w:val="both"/>
        <w:rPr>
          <w:rFonts w:eastAsia="Tahoma"/>
          <w:sz w:val="22"/>
          <w:szCs w:val="22"/>
          <w:lang w:bidi="pl-PL"/>
        </w:rPr>
      </w:pPr>
      <w:bookmarkStart w:id="107" w:name="bookmark124"/>
      <w:bookmarkEnd w:id="107"/>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08" w:name="bookmark125"/>
      <w:bookmarkEnd w:id="108"/>
      <w:r w:rsidRPr="00000340">
        <w:rPr>
          <w:rFonts w:eastAsia="Tahoma"/>
          <w:sz w:val="22"/>
          <w:szCs w:val="22"/>
          <w:lang w:bidi="pl-PL"/>
        </w:rPr>
        <w:t xml:space="preserve">Wykonawca nie podlega wykluczeniu w okolicznościach określonych w art. 108 ust. 1pkt 1, 2 i 5 ustawy </w:t>
      </w:r>
      <w:r w:rsidRPr="001B3ADA">
        <w:rPr>
          <w:rFonts w:eastAsia="Tahoma"/>
          <w:sz w:val="22"/>
          <w:szCs w:val="22"/>
          <w:lang w:bidi="pl-PL"/>
        </w:rPr>
        <w:t xml:space="preserve">Pzp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ustawy Pzp, jeżeli udowodni Zamawiającemu, że spełnił łącznie przesłanki wymienione w art. 110 ust. 2 pkt 1-3 ustawy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9" w:name="bookmark126"/>
      <w:bookmarkStart w:id="110" w:name="bookmark127"/>
      <w:bookmarkStart w:id="111" w:name="bookmark128"/>
      <w:r w:rsidRPr="00B64271">
        <w:rPr>
          <w:rFonts w:eastAsia="Calibri"/>
          <w:b/>
          <w:bCs/>
          <w:sz w:val="22"/>
          <w:szCs w:val="22"/>
          <w:lang w:bidi="pl-PL"/>
        </w:rPr>
        <w:t>Rozdział IX.</w:t>
      </w:r>
      <w:bookmarkEnd w:id="109"/>
      <w:bookmarkEnd w:id="110"/>
      <w:bookmarkEnd w:id="111"/>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4C2263">
      <w:pPr>
        <w:widowControl w:val="0"/>
        <w:numPr>
          <w:ilvl w:val="0"/>
          <w:numId w:val="30"/>
        </w:numPr>
        <w:tabs>
          <w:tab w:val="left" w:pos="398"/>
        </w:tabs>
        <w:spacing w:after="120" w:line="264" w:lineRule="auto"/>
        <w:jc w:val="both"/>
        <w:rPr>
          <w:rFonts w:eastAsia="Tahoma"/>
          <w:sz w:val="22"/>
          <w:szCs w:val="22"/>
          <w:lang w:bidi="pl-PL"/>
        </w:rPr>
      </w:pPr>
      <w:bookmarkStart w:id="112" w:name="bookmark129"/>
      <w:bookmarkEnd w:id="112"/>
      <w:r w:rsidRPr="00B64271">
        <w:rPr>
          <w:rFonts w:eastAsia="Tahoma"/>
          <w:b/>
          <w:bCs/>
          <w:sz w:val="22"/>
          <w:szCs w:val="22"/>
          <w:lang w:bidi="pl-PL"/>
        </w:rPr>
        <w:t>WYKAZ DOKUMENTÓW</w:t>
      </w:r>
    </w:p>
    <w:p w14:paraId="33E358C8" w14:textId="6990CAA1" w:rsidR="00B64271" w:rsidRPr="00B64271" w:rsidRDefault="00B64271" w:rsidP="004C2263">
      <w:pPr>
        <w:widowControl w:val="0"/>
        <w:numPr>
          <w:ilvl w:val="0"/>
          <w:numId w:val="31"/>
        </w:numPr>
        <w:tabs>
          <w:tab w:val="left" w:pos="284"/>
        </w:tabs>
        <w:ind w:left="284" w:hanging="284"/>
        <w:jc w:val="both"/>
        <w:rPr>
          <w:rFonts w:eastAsia="Tahoma"/>
          <w:sz w:val="22"/>
          <w:szCs w:val="22"/>
          <w:lang w:bidi="pl-PL"/>
        </w:rPr>
      </w:pPr>
      <w:bookmarkStart w:id="113" w:name="bookmark130"/>
      <w:bookmarkEnd w:id="113"/>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4C2263">
      <w:pPr>
        <w:widowControl w:val="0"/>
        <w:numPr>
          <w:ilvl w:val="0"/>
          <w:numId w:val="32"/>
        </w:numPr>
        <w:tabs>
          <w:tab w:val="left" w:pos="284"/>
          <w:tab w:val="left" w:pos="851"/>
        </w:tabs>
        <w:ind w:left="284" w:hanging="284"/>
        <w:jc w:val="both"/>
        <w:rPr>
          <w:rFonts w:eastAsia="Tahoma"/>
          <w:sz w:val="22"/>
          <w:szCs w:val="22"/>
          <w:lang w:bidi="pl-PL"/>
        </w:rPr>
      </w:pPr>
      <w:bookmarkStart w:id="114" w:name="bookmark131"/>
      <w:bookmarkEnd w:id="114"/>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5" w:name="bookmark132"/>
      <w:bookmarkEnd w:id="115"/>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6" w:name="bookmark133"/>
      <w:bookmarkEnd w:id="116"/>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7" w:name="bookmark134"/>
      <w:bookmarkEnd w:id="117"/>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8" w:name="bookmark135"/>
      <w:bookmarkEnd w:id="118"/>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FBF3BC6" w14:textId="7A2E99D0" w:rsidR="005F0003" w:rsidRPr="005F0003" w:rsidRDefault="00891571" w:rsidP="005F0003">
      <w:pPr>
        <w:jc w:val="both"/>
        <w:rPr>
          <w:sz w:val="24"/>
          <w:szCs w:val="24"/>
          <w:u w:val="single"/>
        </w:rPr>
      </w:pPr>
      <w:r>
        <w:rPr>
          <w:sz w:val="22"/>
          <w:szCs w:val="22"/>
        </w:rPr>
        <w:t xml:space="preserve">W </w:t>
      </w:r>
      <w:r w:rsidR="005F0003">
        <w:rPr>
          <w:sz w:val="22"/>
          <w:szCs w:val="22"/>
        </w:rPr>
        <w:t xml:space="preserve">przypadku zaoferowania artykułów równoważnych Zamawiający  żąda </w:t>
      </w:r>
      <w:r>
        <w:rPr>
          <w:sz w:val="22"/>
          <w:szCs w:val="22"/>
        </w:rPr>
        <w:t xml:space="preserve"> od Wykonawcy złożenia wraz z ofertą przedmiotowego środka dowodowego, tj.: </w:t>
      </w:r>
      <w:r w:rsidR="005F0003" w:rsidRPr="005F0003">
        <w:rPr>
          <w:sz w:val="22"/>
          <w:szCs w:val="22"/>
        </w:rPr>
        <w:t xml:space="preserve">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005F0003" w:rsidRPr="005F0003">
        <w:rPr>
          <w:sz w:val="22"/>
          <w:szCs w:val="22"/>
          <w:u w:val="single"/>
        </w:rPr>
        <w:t>Zamawiający nie przewiduje wezwania Wykonawcy do ich złożenia, bądź ich uzupełnienia.</w:t>
      </w:r>
      <w:r w:rsidR="005F0003" w:rsidRPr="005F0003">
        <w:rPr>
          <w:sz w:val="24"/>
          <w:szCs w:val="24"/>
          <w:u w:val="single"/>
        </w:rPr>
        <w:t xml:space="preserve"> </w:t>
      </w:r>
    </w:p>
    <w:p w14:paraId="2D66D375" w14:textId="03DCF91D" w:rsidR="00B64271" w:rsidRPr="00FE4B24" w:rsidRDefault="00B64271" w:rsidP="00CE7808">
      <w:pPr>
        <w:widowControl w:val="0"/>
        <w:numPr>
          <w:ilvl w:val="0"/>
          <w:numId w:val="62"/>
        </w:numPr>
        <w:tabs>
          <w:tab w:val="left" w:pos="284"/>
        </w:tabs>
        <w:ind w:left="284" w:hanging="284"/>
        <w:jc w:val="both"/>
        <w:rPr>
          <w:rFonts w:eastAsia="Tahoma"/>
          <w:b/>
          <w:sz w:val="22"/>
          <w:szCs w:val="22"/>
          <w:lang w:bidi="pl-PL"/>
        </w:rPr>
      </w:pPr>
      <w:bookmarkStart w:id="119" w:name="bookmark136"/>
      <w:bookmarkEnd w:id="119"/>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20" w:name="bookmark137"/>
      <w:bookmarkEnd w:id="120"/>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21" w:name="bookmark138"/>
      <w:bookmarkEnd w:id="121"/>
      <w:r w:rsidRPr="00063766">
        <w:rPr>
          <w:rFonts w:eastAsia="Tahoma"/>
          <w:sz w:val="22"/>
          <w:szCs w:val="22"/>
          <w:lang w:bidi="pl-PL"/>
        </w:rPr>
        <w:t>art. 108 ust. 1 pkt 3 ustawy Pzp,</w:t>
      </w:r>
    </w:p>
    <w:p w14:paraId="13CC3278" w14:textId="4A4AC50E" w:rsidR="00B64271" w:rsidRPr="00063766" w:rsidRDefault="005E54EA" w:rsidP="00CE7808">
      <w:pPr>
        <w:widowControl w:val="0"/>
        <w:numPr>
          <w:ilvl w:val="0"/>
          <w:numId w:val="33"/>
        </w:numPr>
        <w:tabs>
          <w:tab w:val="left" w:pos="284"/>
          <w:tab w:val="left" w:pos="1850"/>
          <w:tab w:val="left" w:pos="2315"/>
          <w:tab w:val="left" w:pos="2776"/>
          <w:tab w:val="left" w:pos="2982"/>
        </w:tabs>
        <w:ind w:left="284" w:hanging="284"/>
        <w:jc w:val="both"/>
        <w:rPr>
          <w:rFonts w:eastAsia="Tahoma"/>
          <w:sz w:val="22"/>
          <w:szCs w:val="22"/>
          <w:lang w:bidi="pl-PL"/>
        </w:rPr>
      </w:pPr>
      <w:bookmarkStart w:id="122" w:name="bookmark139"/>
      <w:bookmarkEnd w:id="122"/>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pkt 4 ustawy Pzp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CE7808">
      <w:pPr>
        <w:widowControl w:val="0"/>
        <w:numPr>
          <w:ilvl w:val="0"/>
          <w:numId w:val="33"/>
        </w:numPr>
        <w:tabs>
          <w:tab w:val="left" w:pos="284"/>
          <w:tab w:val="left" w:pos="1859"/>
          <w:tab w:val="left" w:pos="2344"/>
          <w:tab w:val="left" w:pos="2810"/>
        </w:tabs>
        <w:ind w:left="284" w:hanging="284"/>
        <w:jc w:val="both"/>
        <w:rPr>
          <w:rFonts w:eastAsia="Tahoma"/>
          <w:sz w:val="22"/>
          <w:szCs w:val="22"/>
          <w:lang w:bidi="pl-PL"/>
        </w:rPr>
      </w:pPr>
      <w:bookmarkStart w:id="123" w:name="bookmark140"/>
      <w:bookmarkEnd w:id="123"/>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1 pkt 5 ustawy Pzp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 xml:space="preserve">porozumienia </w:t>
      </w:r>
      <w:r w:rsidRPr="00063766">
        <w:rPr>
          <w:rFonts w:eastAsia="Tahoma"/>
          <w:sz w:val="22"/>
          <w:szCs w:val="22"/>
          <w:lang w:bidi="pl-PL"/>
        </w:rPr>
        <w:lastRenderedPageBreak/>
        <w:t>mającego na celu zakłócenie konkurencji,</w:t>
      </w:r>
    </w:p>
    <w:p w14:paraId="63F899B4"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24" w:name="bookmark141"/>
      <w:bookmarkEnd w:id="124"/>
      <w:r w:rsidRPr="00063766">
        <w:rPr>
          <w:rFonts w:eastAsia="Tahoma"/>
          <w:sz w:val="22"/>
          <w:szCs w:val="22"/>
          <w:lang w:bidi="pl-PL"/>
        </w:rPr>
        <w:t>art. 109 ust. 1 pkt 1 ustawy Pzp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4 ustawy Pzp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5 ustawy Pzp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7  ustawy Pzp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25" w:name="bookmark142"/>
      <w:bookmarkEnd w:id="125"/>
      <w:r w:rsidRPr="00340C42">
        <w:rPr>
          <w:rFonts w:eastAsia="Tahoma"/>
          <w:sz w:val="22"/>
          <w:szCs w:val="22"/>
          <w:lang w:bidi="pl-PL"/>
        </w:rPr>
        <w:t>informacji z Krajowego Rejestru Karnego w zakresie: art. 108 ust. 1 pkt 1 i 2 ustawy Pzp, art. 108 ust. 1 pkt 4 ustawy Pzp, odnośnie orzeczenia zakazu ubiegania się o zamówienie publiczne tytułem środka karnego - wystawionej nie wcześniej niż 6 miesięcy przed jej złożeniem,</w:t>
      </w:r>
    </w:p>
    <w:p w14:paraId="47C0E79B" w14:textId="1D52CEEA"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6" w:name="bookmark143"/>
      <w:bookmarkEnd w:id="126"/>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i Informacji o Działalności Gospodarczej, w zakresie art. 109 ust. 1 pkt 4 ustawy Pzp, sporządzonych nie wcześniej niż 3 miesiące przed ich złożeniem, jeżeli odrębne przepisy wymagają wpisu do rejestru lub ewidencji,</w:t>
      </w:r>
    </w:p>
    <w:p w14:paraId="4E820E48"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7" w:name="bookmark144"/>
      <w:bookmarkEnd w:id="127"/>
      <w:r w:rsidRPr="00B64271">
        <w:rPr>
          <w:rFonts w:eastAsia="Tahoma"/>
          <w:sz w:val="22"/>
          <w:szCs w:val="22"/>
          <w:lang w:bidi="pl-PL"/>
        </w:rPr>
        <w:t>zaświadczenia właściwego naczelnika urzędu skarbowego potwierdzającego, że Wykonawca nie zalega z opłacaniem podatków i opłat, w zakresie art. 109 ust. 1 pkt 1 ustawy Pzp,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8" w:name="bookmark145"/>
      <w:bookmarkEnd w:id="128"/>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35F3834" w14:textId="080CC43F" w:rsidR="007C7BCE" w:rsidRPr="007C7BCE" w:rsidRDefault="00B64271" w:rsidP="00CE7808">
      <w:pPr>
        <w:pStyle w:val="Akapitzlist"/>
        <w:widowControl w:val="0"/>
        <w:numPr>
          <w:ilvl w:val="0"/>
          <w:numId w:val="61"/>
        </w:numPr>
        <w:ind w:left="284" w:hanging="284"/>
        <w:jc w:val="both"/>
        <w:rPr>
          <w:bCs/>
          <w:sz w:val="22"/>
          <w:szCs w:val="22"/>
        </w:rPr>
      </w:pPr>
      <w:bookmarkStart w:id="129" w:name="bookmark146"/>
      <w:bookmarkStart w:id="130" w:name="bookmark147"/>
      <w:bookmarkStart w:id="131" w:name="_Hlk68695481"/>
      <w:bookmarkEnd w:id="129"/>
      <w:bookmarkEnd w:id="130"/>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6CD15237"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1 zamówienia dwóch dostaw papierosów, wyrobów tytoniowych i zapalniczek, na kwotę nie mniejszą niż 110 000,00 zł brutto każda,</w:t>
      </w:r>
    </w:p>
    <w:p w14:paraId="354C0410"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2 zamówienia dwóch dostaw papierosów, wyrobów tytoniowych i zapalniczek, na kwotę nie mniejszą niż 41 000,00 zł brutto każda,</w:t>
      </w:r>
    </w:p>
    <w:p w14:paraId="4044ABDC"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3 zamówienia dwóch dostaw papierosów, wyrobów tytoniowych i zapalniczek, na kwotę nie mniejszą niż 37 000,00 zł brutto każda,</w:t>
      </w:r>
    </w:p>
    <w:p w14:paraId="2581ECCB"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4 zamówienia dwóch dostaw papierosów, wyrobów tytoniowych i zapalniczek, na kwotę nie mniejszą niż 68 000,00 zł brutto każda,</w:t>
      </w:r>
    </w:p>
    <w:p w14:paraId="0465E15F"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5 zamówienia dwóch dostaw papierosów, wyrobów tytoniowych i zapalniczek, na kwotę nie mniejszą niż 51 000,00 zł brutto każda,</w:t>
      </w:r>
    </w:p>
    <w:p w14:paraId="5383A0C6"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lastRenderedPageBreak/>
        <w:t>dla części 6 zamówienia dwóch dostaw papierosów, wyrobów tytoniowych i zapalniczek, na kwotę nie mniejszą niż 22 000,00 zł brutto każda,</w:t>
      </w:r>
    </w:p>
    <w:p w14:paraId="7BBBACA9"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7 zamówienia dwóch dostaw papierosów, wyrobów tytoniowych i zapalniczek, na kwotę nie mniejszą niż 65 000,00 zł brutto każda,</w:t>
      </w:r>
    </w:p>
    <w:p w14:paraId="69DBBC57"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8 zamówienia dwóch dostaw papierosów, wyrobów tytoniowych i zapalniczek, na kwotę nie mniejszą niż 127 000,00 zł brutto każda,</w:t>
      </w:r>
    </w:p>
    <w:p w14:paraId="2DD533A4"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9 zamówienia dwóch dostaw papierosów, wyrobów tytoniowych i zapalniczek, na kwotę nie mniejszą niż 50 000,00 zł brutto każda,</w:t>
      </w:r>
    </w:p>
    <w:p w14:paraId="672AF2D7"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10 zamówienia dwóch dostaw papierosów, wyrobów tytoniowych i zapalniczek, na kwotę nie mniejszą niż 42 000,00 zł brutto każda,</w:t>
      </w:r>
    </w:p>
    <w:p w14:paraId="75B32141"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11 zamówienia dwóch dostaw papierosów, wyrobów tytoniowych i zapalniczek, na kwotę nie mniejszą niż 91 000,00 zł brutto każda,</w:t>
      </w:r>
    </w:p>
    <w:p w14:paraId="740FC42E"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12 zamówienia dwóch dostaw papierosów, wyrobów tytoniowych i zapalniczek, na kwotę nie mniejszą niż 105 000,00 zł brutto każda,</w:t>
      </w:r>
    </w:p>
    <w:p w14:paraId="1BE6056F"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13 zamówienia dwóch dostaw papierosów, wyrobów tytoniowych i zapalniczek, na kwotę nie mniejszą niż 78 000,00 zł brutto każda,</w:t>
      </w:r>
    </w:p>
    <w:p w14:paraId="626B3C61" w14:textId="77777777" w:rsidR="00340C42" w:rsidRPr="00A0600F" w:rsidRDefault="00340C42" w:rsidP="00CE7808">
      <w:pPr>
        <w:pStyle w:val="Akapitzlist"/>
        <w:widowControl w:val="0"/>
        <w:numPr>
          <w:ilvl w:val="0"/>
          <w:numId w:val="60"/>
        </w:numPr>
        <w:ind w:left="284" w:hanging="284"/>
        <w:jc w:val="both"/>
        <w:rPr>
          <w:sz w:val="22"/>
          <w:szCs w:val="22"/>
        </w:rPr>
      </w:pPr>
      <w:r w:rsidRPr="00A0600F">
        <w:rPr>
          <w:sz w:val="22"/>
          <w:szCs w:val="22"/>
        </w:rPr>
        <w:t>dla części 14 zamówienia dwóch dostaw papierosów, wyrobów tytoniowych i zapalniczek, na kwotę nie mniejszą niż 76 000,00 zł brutto każda.</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32" w:name="bookmark148"/>
      <w:bookmarkEnd w:id="131"/>
      <w:bookmarkEnd w:id="132"/>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7319CC5" w:rsidR="00F6152E" w:rsidRPr="00F6152E" w:rsidRDefault="00F6152E" w:rsidP="00CE7808">
      <w:pPr>
        <w:pStyle w:val="Akapitzlist"/>
        <w:numPr>
          <w:ilvl w:val="0"/>
          <w:numId w:val="61"/>
        </w:numPr>
        <w:ind w:left="284" w:hanging="284"/>
        <w:jc w:val="both"/>
        <w:rPr>
          <w:color w:val="00B0F0"/>
          <w:sz w:val="22"/>
          <w:szCs w:val="22"/>
        </w:rPr>
      </w:pPr>
      <w:r>
        <w:rPr>
          <w:color w:val="000000"/>
          <w:sz w:val="22"/>
          <w:szCs w:val="22"/>
          <w:lang w:val="pl-PL"/>
        </w:rPr>
        <w:t xml:space="preserve">Dokument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p>
    <w:p w14:paraId="6031D5A0" w14:textId="77777777" w:rsidR="00340C42" w:rsidRPr="00340C42" w:rsidRDefault="00340C42" w:rsidP="00340C42">
      <w:pPr>
        <w:ind w:left="284" w:hanging="284"/>
        <w:rPr>
          <w:sz w:val="22"/>
          <w:szCs w:val="22"/>
        </w:rPr>
      </w:pPr>
      <w:r w:rsidRPr="00340C42">
        <w:rPr>
          <w:sz w:val="22"/>
          <w:szCs w:val="22"/>
        </w:rPr>
        <w:t>Część 1  - 110 000,00 zł</w:t>
      </w:r>
    </w:p>
    <w:p w14:paraId="72DD5781" w14:textId="77777777" w:rsidR="00340C42" w:rsidRPr="00340C42" w:rsidRDefault="00340C42" w:rsidP="00340C42">
      <w:pPr>
        <w:ind w:left="284" w:hanging="284"/>
        <w:rPr>
          <w:sz w:val="22"/>
          <w:szCs w:val="22"/>
        </w:rPr>
      </w:pPr>
      <w:r w:rsidRPr="00340C42">
        <w:rPr>
          <w:sz w:val="22"/>
          <w:szCs w:val="22"/>
        </w:rPr>
        <w:t>Część 2 - 41 000,00 zł</w:t>
      </w:r>
    </w:p>
    <w:p w14:paraId="3072DDC9" w14:textId="77777777" w:rsidR="00340C42" w:rsidRPr="00340C42" w:rsidRDefault="00340C42" w:rsidP="00340C42">
      <w:pPr>
        <w:ind w:left="284" w:hanging="284"/>
        <w:rPr>
          <w:sz w:val="22"/>
          <w:szCs w:val="22"/>
        </w:rPr>
      </w:pPr>
      <w:r w:rsidRPr="00340C42">
        <w:rPr>
          <w:sz w:val="22"/>
          <w:szCs w:val="22"/>
        </w:rPr>
        <w:t>Część 3 - 37 000,00 zł</w:t>
      </w:r>
    </w:p>
    <w:p w14:paraId="41B32D7A" w14:textId="77777777" w:rsidR="00340C42" w:rsidRPr="00340C42" w:rsidRDefault="00340C42" w:rsidP="00340C42">
      <w:pPr>
        <w:ind w:left="284" w:hanging="284"/>
        <w:rPr>
          <w:sz w:val="22"/>
          <w:szCs w:val="22"/>
        </w:rPr>
      </w:pPr>
      <w:r w:rsidRPr="00340C42">
        <w:rPr>
          <w:sz w:val="22"/>
          <w:szCs w:val="22"/>
        </w:rPr>
        <w:t>Część 4 - 68 000,00 zł</w:t>
      </w:r>
    </w:p>
    <w:p w14:paraId="11E489C6" w14:textId="77777777" w:rsidR="00340C42" w:rsidRPr="00340C42" w:rsidRDefault="00340C42" w:rsidP="00340C42">
      <w:pPr>
        <w:ind w:left="284" w:hanging="284"/>
        <w:rPr>
          <w:sz w:val="22"/>
          <w:szCs w:val="22"/>
        </w:rPr>
      </w:pPr>
      <w:r w:rsidRPr="00340C42">
        <w:rPr>
          <w:sz w:val="22"/>
          <w:szCs w:val="22"/>
        </w:rPr>
        <w:t>Część 5 - 51 000,00 zł</w:t>
      </w:r>
    </w:p>
    <w:p w14:paraId="07862C5A" w14:textId="77777777" w:rsidR="00340C42" w:rsidRPr="00340C42" w:rsidRDefault="00340C42" w:rsidP="00340C42">
      <w:pPr>
        <w:ind w:left="284" w:hanging="284"/>
        <w:rPr>
          <w:sz w:val="22"/>
          <w:szCs w:val="22"/>
        </w:rPr>
      </w:pPr>
      <w:r w:rsidRPr="00340C42">
        <w:rPr>
          <w:sz w:val="22"/>
          <w:szCs w:val="22"/>
        </w:rPr>
        <w:t>Część 6 - 22 000,00 zł</w:t>
      </w:r>
    </w:p>
    <w:p w14:paraId="41602DBF" w14:textId="77777777" w:rsidR="00340C42" w:rsidRPr="00340C42" w:rsidRDefault="00340C42" w:rsidP="00340C42">
      <w:pPr>
        <w:ind w:left="284" w:hanging="284"/>
        <w:rPr>
          <w:sz w:val="22"/>
          <w:szCs w:val="22"/>
        </w:rPr>
      </w:pPr>
      <w:r w:rsidRPr="00340C42">
        <w:rPr>
          <w:sz w:val="22"/>
          <w:szCs w:val="22"/>
        </w:rPr>
        <w:t>Część 7 - 65 000,00 zł</w:t>
      </w:r>
    </w:p>
    <w:p w14:paraId="21C7C2F1" w14:textId="77777777" w:rsidR="00340C42" w:rsidRPr="00340C42" w:rsidRDefault="00340C42" w:rsidP="00340C42">
      <w:pPr>
        <w:ind w:left="284" w:hanging="284"/>
        <w:rPr>
          <w:sz w:val="22"/>
          <w:szCs w:val="22"/>
        </w:rPr>
      </w:pPr>
      <w:r w:rsidRPr="00340C42">
        <w:rPr>
          <w:sz w:val="22"/>
          <w:szCs w:val="22"/>
        </w:rPr>
        <w:t>Część 8 - 127 000,00 zł</w:t>
      </w:r>
    </w:p>
    <w:p w14:paraId="078E6721" w14:textId="77777777" w:rsidR="00340C42" w:rsidRPr="00340C42" w:rsidRDefault="00340C42" w:rsidP="00340C42">
      <w:pPr>
        <w:ind w:left="284" w:hanging="284"/>
        <w:rPr>
          <w:sz w:val="22"/>
          <w:szCs w:val="22"/>
        </w:rPr>
      </w:pPr>
      <w:r w:rsidRPr="00340C42">
        <w:rPr>
          <w:sz w:val="22"/>
          <w:szCs w:val="22"/>
        </w:rPr>
        <w:t>Część 9 - 50 000,00 zł</w:t>
      </w:r>
    </w:p>
    <w:p w14:paraId="7D170CB7" w14:textId="77777777" w:rsidR="00340C42" w:rsidRPr="00340C42" w:rsidRDefault="00340C42" w:rsidP="00340C42">
      <w:pPr>
        <w:ind w:left="284" w:hanging="284"/>
        <w:rPr>
          <w:sz w:val="22"/>
          <w:szCs w:val="22"/>
        </w:rPr>
      </w:pPr>
      <w:r w:rsidRPr="00340C42">
        <w:rPr>
          <w:sz w:val="22"/>
          <w:szCs w:val="22"/>
        </w:rPr>
        <w:t>Część 10 - 42 000,00 zł</w:t>
      </w:r>
    </w:p>
    <w:p w14:paraId="784FBD5E" w14:textId="77777777" w:rsidR="00340C42" w:rsidRPr="00340C42" w:rsidRDefault="00340C42" w:rsidP="00340C42">
      <w:pPr>
        <w:ind w:left="284" w:hanging="284"/>
        <w:rPr>
          <w:sz w:val="22"/>
          <w:szCs w:val="22"/>
        </w:rPr>
      </w:pPr>
      <w:r w:rsidRPr="00340C42">
        <w:rPr>
          <w:sz w:val="22"/>
          <w:szCs w:val="22"/>
        </w:rPr>
        <w:t>Część 11 - 91 000,00 zł</w:t>
      </w:r>
    </w:p>
    <w:p w14:paraId="2620A6C7" w14:textId="77777777" w:rsidR="00340C42" w:rsidRPr="00340C42" w:rsidRDefault="00340C42" w:rsidP="00340C42">
      <w:pPr>
        <w:ind w:left="284" w:hanging="284"/>
        <w:rPr>
          <w:sz w:val="22"/>
          <w:szCs w:val="22"/>
        </w:rPr>
      </w:pPr>
      <w:r w:rsidRPr="00340C42">
        <w:rPr>
          <w:sz w:val="22"/>
          <w:szCs w:val="22"/>
        </w:rPr>
        <w:t>Część 12 - 105 000,00 zł</w:t>
      </w:r>
    </w:p>
    <w:p w14:paraId="4DAADBDC" w14:textId="77777777" w:rsidR="00340C42" w:rsidRPr="00340C42" w:rsidRDefault="00340C42" w:rsidP="00340C42">
      <w:pPr>
        <w:ind w:left="284" w:hanging="284"/>
        <w:rPr>
          <w:sz w:val="22"/>
          <w:szCs w:val="22"/>
        </w:rPr>
      </w:pPr>
      <w:r w:rsidRPr="00340C42">
        <w:rPr>
          <w:sz w:val="22"/>
          <w:szCs w:val="22"/>
        </w:rPr>
        <w:t>Część 13 -  78 000,00 zł</w:t>
      </w:r>
    </w:p>
    <w:p w14:paraId="2EC17046" w14:textId="77777777" w:rsidR="00340C42" w:rsidRPr="00340C42" w:rsidRDefault="00340C42" w:rsidP="00340C42">
      <w:pPr>
        <w:ind w:left="284" w:hanging="284"/>
        <w:rPr>
          <w:sz w:val="22"/>
          <w:szCs w:val="22"/>
        </w:rPr>
      </w:pPr>
      <w:r w:rsidRPr="00340C42">
        <w:rPr>
          <w:sz w:val="22"/>
          <w:szCs w:val="22"/>
        </w:rPr>
        <w:t>Część 14 -  76 000,00 zł</w:t>
      </w:r>
    </w:p>
    <w:p w14:paraId="540CCB95" w14:textId="77777777" w:rsidR="00F6152E" w:rsidRPr="00F6152E" w:rsidRDefault="00F6152E" w:rsidP="00F6152E">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CE7808">
      <w:pPr>
        <w:widowControl w:val="0"/>
        <w:numPr>
          <w:ilvl w:val="0"/>
          <w:numId w:val="62"/>
        </w:numPr>
        <w:tabs>
          <w:tab w:val="left" w:pos="284"/>
        </w:tabs>
        <w:jc w:val="both"/>
        <w:rPr>
          <w:rFonts w:eastAsia="Tahoma"/>
          <w:sz w:val="22"/>
          <w:szCs w:val="22"/>
          <w:lang w:bidi="pl-PL"/>
        </w:rPr>
      </w:pPr>
      <w:bookmarkStart w:id="133" w:name="bookmark149"/>
      <w:bookmarkEnd w:id="133"/>
      <w:r w:rsidRPr="00B64271">
        <w:rPr>
          <w:rFonts w:eastAsia="Tahoma"/>
          <w:sz w:val="22"/>
          <w:szCs w:val="22"/>
          <w:lang w:bidi="pl-PL"/>
        </w:rPr>
        <w:t xml:space="preserve">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t>
      </w:r>
      <w:r w:rsidRPr="00B64271">
        <w:rPr>
          <w:rFonts w:eastAsia="Tahoma"/>
          <w:sz w:val="22"/>
          <w:szCs w:val="22"/>
          <w:lang w:bidi="pl-PL"/>
        </w:rPr>
        <w:lastRenderedPageBreak/>
        <w:t>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CE7808">
      <w:pPr>
        <w:widowControl w:val="0"/>
        <w:numPr>
          <w:ilvl w:val="0"/>
          <w:numId w:val="62"/>
        </w:numPr>
        <w:tabs>
          <w:tab w:val="left" w:pos="284"/>
        </w:tabs>
        <w:jc w:val="both"/>
        <w:rPr>
          <w:rFonts w:eastAsia="Tahoma"/>
          <w:sz w:val="22"/>
          <w:szCs w:val="22"/>
          <w:lang w:bidi="pl-PL"/>
        </w:rPr>
      </w:pPr>
      <w:bookmarkStart w:id="134" w:name="bookmark150"/>
      <w:bookmarkEnd w:id="134"/>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4C2263">
      <w:pPr>
        <w:widowControl w:val="0"/>
        <w:numPr>
          <w:ilvl w:val="0"/>
          <w:numId w:val="30"/>
        </w:numPr>
        <w:tabs>
          <w:tab w:val="left" w:pos="461"/>
        </w:tabs>
        <w:jc w:val="both"/>
        <w:rPr>
          <w:rFonts w:eastAsia="Tahoma"/>
          <w:sz w:val="22"/>
          <w:szCs w:val="22"/>
          <w:lang w:bidi="pl-PL"/>
        </w:rPr>
      </w:pPr>
      <w:bookmarkStart w:id="135" w:name="bookmark151"/>
      <w:bookmarkEnd w:id="135"/>
      <w:r w:rsidRPr="00B64271">
        <w:rPr>
          <w:rFonts w:eastAsia="Tahoma"/>
          <w:b/>
          <w:bCs/>
          <w:sz w:val="22"/>
          <w:szCs w:val="22"/>
          <w:lang w:bidi="pl-PL"/>
        </w:rPr>
        <w:t>WYKONAWCY ZAGRANICZNI</w:t>
      </w:r>
    </w:p>
    <w:p w14:paraId="4CFDE177"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36" w:name="bookmark152"/>
      <w:bookmarkEnd w:id="136"/>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CE7808">
      <w:pPr>
        <w:widowControl w:val="0"/>
        <w:numPr>
          <w:ilvl w:val="0"/>
          <w:numId w:val="35"/>
        </w:numPr>
        <w:tabs>
          <w:tab w:val="left" w:pos="284"/>
          <w:tab w:val="left" w:pos="1045"/>
        </w:tabs>
        <w:ind w:left="284" w:hanging="284"/>
        <w:jc w:val="both"/>
        <w:rPr>
          <w:rFonts w:eastAsia="Tahoma"/>
          <w:color w:val="00B050"/>
          <w:sz w:val="22"/>
          <w:szCs w:val="22"/>
          <w:lang w:bidi="pl-PL"/>
        </w:rPr>
      </w:pPr>
      <w:bookmarkStart w:id="137" w:name="bookmark153"/>
      <w:bookmarkEnd w:id="137"/>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CE7808">
      <w:pPr>
        <w:widowControl w:val="0"/>
        <w:numPr>
          <w:ilvl w:val="0"/>
          <w:numId w:val="35"/>
        </w:numPr>
        <w:tabs>
          <w:tab w:val="left" w:pos="284"/>
          <w:tab w:val="left" w:pos="1045"/>
        </w:tabs>
        <w:ind w:left="284" w:hanging="284"/>
        <w:jc w:val="both"/>
        <w:rPr>
          <w:rFonts w:eastAsia="Tahoma"/>
          <w:sz w:val="22"/>
          <w:szCs w:val="22"/>
          <w:lang w:bidi="pl-PL"/>
        </w:rPr>
      </w:pPr>
      <w:bookmarkStart w:id="138" w:name="bookmark154"/>
      <w:bookmarkEnd w:id="138"/>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39" w:name="bookmark155"/>
      <w:bookmarkEnd w:id="139"/>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40" w:name="bookmark156"/>
      <w:bookmarkEnd w:id="140"/>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1" w:name="bookmark157"/>
      <w:bookmarkEnd w:id="141"/>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2" w:name="bookmark158"/>
      <w:bookmarkEnd w:id="142"/>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3" w:name="bookmark159"/>
      <w:bookmarkEnd w:id="143"/>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4" w:name="bookmark160"/>
      <w:bookmarkEnd w:id="144"/>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4C2263">
      <w:pPr>
        <w:widowControl w:val="0"/>
        <w:numPr>
          <w:ilvl w:val="0"/>
          <w:numId w:val="30"/>
        </w:numPr>
        <w:tabs>
          <w:tab w:val="left" w:pos="426"/>
        </w:tabs>
        <w:jc w:val="both"/>
        <w:rPr>
          <w:rFonts w:eastAsia="Tahoma"/>
          <w:sz w:val="22"/>
          <w:szCs w:val="22"/>
          <w:lang w:bidi="pl-PL"/>
        </w:rPr>
      </w:pPr>
      <w:bookmarkStart w:id="145" w:name="bookmark161"/>
      <w:bookmarkEnd w:id="145"/>
      <w:r w:rsidRPr="00B64271">
        <w:rPr>
          <w:rFonts w:eastAsia="Tahoma"/>
          <w:b/>
          <w:bCs/>
          <w:sz w:val="22"/>
          <w:szCs w:val="22"/>
          <w:lang w:bidi="pl-PL"/>
        </w:rPr>
        <w:t>WYKONAWCY WYSTĘPUJĄCY WSPÓLNIE LUB UDOSTĘPNIAJĄCY ZASOBY</w:t>
      </w:r>
    </w:p>
    <w:p w14:paraId="424A14ED"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6" w:name="bookmark162"/>
      <w:bookmarkEnd w:id="146"/>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7" w:name="bookmark163"/>
      <w:bookmarkEnd w:id="147"/>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8" w:name="bookmark164"/>
      <w:bookmarkEnd w:id="148"/>
      <w:r w:rsidRPr="00B64271">
        <w:rPr>
          <w:rFonts w:eastAsia="Tahoma"/>
          <w:sz w:val="22"/>
          <w:szCs w:val="22"/>
          <w:lang w:bidi="pl-PL"/>
        </w:rPr>
        <w:t xml:space="preserve">Jeżeli Wykonawca polega na zdolnościach lub sytuacji innych podmiotów na zasadach określonych </w:t>
      </w:r>
      <w:r w:rsidRPr="00B64271">
        <w:rPr>
          <w:rFonts w:eastAsia="Tahoma"/>
          <w:sz w:val="22"/>
          <w:szCs w:val="22"/>
          <w:lang w:bidi="pl-PL"/>
        </w:rPr>
        <w:lastRenderedPageBreak/>
        <w:t>w art. 118 ust. 1 ustawy Pzp, Zamawiający żąda przedstawienia w odniesieniu do tych podmiotów dokumentów wymienionych w rozdziale IX podrozdziale I ust. 2 pkt 1 - 5.</w:t>
      </w:r>
    </w:p>
    <w:p w14:paraId="24745EE2"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9" w:name="bookmark165"/>
      <w:bookmarkEnd w:id="149"/>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50" w:name="bookmark166"/>
      <w:bookmarkStart w:id="151" w:name="bookmark167"/>
      <w:bookmarkStart w:id="152" w:name="bookmark168"/>
      <w:r w:rsidRPr="00B64271">
        <w:rPr>
          <w:rFonts w:eastAsia="Calibri"/>
          <w:b/>
          <w:bCs/>
          <w:sz w:val="22"/>
          <w:szCs w:val="22"/>
          <w:lang w:bidi="pl-PL"/>
        </w:rPr>
        <w:t>Rozdział X.</w:t>
      </w:r>
      <w:bookmarkEnd w:id="150"/>
      <w:bookmarkEnd w:id="151"/>
      <w:bookmarkEnd w:id="152"/>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53" w:name="bookmark169"/>
      <w:bookmarkStart w:id="154" w:name="bookmark170"/>
      <w:bookmarkStart w:id="155" w:name="bookmark171"/>
      <w:bookmarkStart w:id="156" w:name="bookmark172"/>
      <w:bookmarkStart w:id="157" w:name="bookmark174"/>
      <w:bookmarkStart w:id="158" w:name="bookmark176"/>
      <w:bookmarkStart w:id="159" w:name="bookmark11"/>
      <w:bookmarkStart w:id="160" w:name="bookmark12"/>
      <w:bookmarkStart w:id="161" w:name="bookmark14"/>
      <w:bookmarkStart w:id="162" w:name="bookmark185"/>
      <w:bookmarkStart w:id="163" w:name="bookmark186"/>
      <w:bookmarkStart w:id="164" w:name="bookmark187"/>
      <w:bookmarkEnd w:id="153"/>
      <w:bookmarkEnd w:id="154"/>
      <w:bookmarkEnd w:id="155"/>
      <w:bookmarkEnd w:id="156"/>
      <w:bookmarkEnd w:id="157"/>
      <w:bookmarkEnd w:id="158"/>
      <w:r w:rsidRPr="00315977">
        <w:rPr>
          <w:rFonts w:eastAsia="Arial"/>
          <w:b/>
          <w:bCs/>
          <w:sz w:val="22"/>
          <w:szCs w:val="22"/>
          <w:lang w:bidi="pl-PL"/>
        </w:rPr>
        <w:t>ZŁOŻENIE OFERTY W POSTĘPOWANIU</w:t>
      </w:r>
      <w:bookmarkEnd w:id="159"/>
      <w:bookmarkEnd w:id="160"/>
      <w:bookmarkEnd w:id="161"/>
    </w:p>
    <w:p w14:paraId="57D059E4" w14:textId="0E776C8D" w:rsidR="001B3ADA" w:rsidRPr="00052F47" w:rsidRDefault="001B3ADA" w:rsidP="00CE7808">
      <w:pPr>
        <w:pStyle w:val="Akapitzlist"/>
        <w:numPr>
          <w:ilvl w:val="2"/>
          <w:numId w:val="54"/>
        </w:numPr>
        <w:autoSpaceDE w:val="0"/>
        <w:autoSpaceDN w:val="0"/>
        <w:adjustRightInd w:val="0"/>
        <w:ind w:left="284" w:hanging="284"/>
        <w:contextualSpacing w:val="0"/>
        <w:jc w:val="both"/>
        <w:rPr>
          <w:rStyle w:val="Hipercze"/>
          <w:b/>
          <w:bCs/>
          <w:sz w:val="22"/>
          <w:szCs w:val="22"/>
        </w:rPr>
      </w:pPr>
      <w:bookmarkStart w:id="165" w:name="bookmark15"/>
      <w:bookmarkEnd w:id="165"/>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r w:rsidRPr="00052F47">
        <w:rPr>
          <w:color w:val="000000"/>
          <w:sz w:val="22"/>
          <w:szCs w:val="22"/>
        </w:rPr>
        <w:t xml:space="preserve">ePUAPu </w:t>
      </w:r>
      <w:hyperlink r:id="rId21" w:history="1">
        <w:r w:rsidRPr="00052F47">
          <w:rPr>
            <w:rStyle w:val="Hipercze"/>
            <w:sz w:val="22"/>
            <w:szCs w:val="22"/>
          </w:rPr>
          <w:t>https://epuap.gov.pl/wps/portal</w:t>
        </w:r>
      </w:hyperlink>
    </w:p>
    <w:p w14:paraId="6F157311" w14:textId="4A6A298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ePUAP i udostępnionego również na miniPortalu. Funkcjonalność do zaszyfrowania oferty przez Wykonawcę jest dostępna dla wykonawców na miniPortalu. W formularzu oferty </w:t>
      </w:r>
      <w:r w:rsidRPr="00DC4C29">
        <w:rPr>
          <w:rFonts w:eastAsia="Calibri"/>
          <w:b/>
          <w:sz w:val="22"/>
          <w:szCs w:val="22"/>
          <w:lang w:eastAsia="en-US"/>
        </w:rPr>
        <w:t>Wykonawca zobowiązany jest podać adres skrzynki ePUAP,</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.doc, .docx, .rtf, .xps, .odt, .xls, .xlsx, xml.</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Sposób złożenia oferty, w tym zaszyfrowania oferty opisany został w Regulaminie korzystania z miniPortalu. Ofertę należy złożyć w oryginale.</w:t>
      </w:r>
    </w:p>
    <w:p w14:paraId="4796D39C"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bookmarkStart w:id="166" w:name="bookmark16"/>
      <w:bookmarkEnd w:id="166"/>
      <w:r w:rsidRPr="00052F47">
        <w:rPr>
          <w:rFonts w:eastAsia="Arial"/>
          <w:sz w:val="22"/>
          <w:szCs w:val="22"/>
          <w:lang w:bidi="pl-PL"/>
        </w:rPr>
        <w:t>Ofertę należy sporządzić w języku polskim.</w:t>
      </w:r>
      <w:bookmarkStart w:id="167" w:name="bookmark17"/>
      <w:bookmarkEnd w:id="167"/>
    </w:p>
    <w:p w14:paraId="0040D4DA"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8" w:name="bookmark18"/>
      <w:bookmarkEnd w:id="168"/>
      <w:r w:rsidRPr="00052F47">
        <w:rPr>
          <w:rFonts w:eastAsia="Arial"/>
          <w:sz w:val="22"/>
          <w:szCs w:val="22"/>
          <w:lang w:bidi="pl-PL"/>
        </w:rPr>
        <w:t>elektronicznym.</w:t>
      </w:r>
    </w:p>
    <w:p w14:paraId="5232661E"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2" w:history="1">
        <w:r w:rsidRPr="00052F47">
          <w:rPr>
            <w:rFonts w:eastAsia="Arial"/>
            <w:sz w:val="22"/>
            <w:szCs w:val="22"/>
            <w:lang w:bidi="pl-PL"/>
          </w:rPr>
          <w:t>https://miniportal.uzp.gov.pl/</w:t>
        </w:r>
      </w:hyperlink>
      <w:bookmarkStart w:id="169" w:name="bookmark19"/>
      <w:bookmarkEnd w:id="169"/>
    </w:p>
    <w:p w14:paraId="72846C35"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0" w:name="bookmark20"/>
      <w:bookmarkEnd w:id="170"/>
    </w:p>
    <w:p w14:paraId="5D381747"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1" w:name="bookmark21"/>
      <w:bookmarkEnd w:id="171"/>
    </w:p>
    <w:p w14:paraId="4BE1D988"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2" w:name="bookmark22"/>
      <w:bookmarkEnd w:id="172"/>
    </w:p>
    <w:p w14:paraId="32630EF9"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dostępnego na ePUAP i udostępnionego również na miniPortalu. Sposób wycofania oferty został opisany w „Instrukcji użytkownika” dostępnej na miniPortalu</w:t>
      </w:r>
    </w:p>
    <w:p w14:paraId="1D4234C2" w14:textId="251BF701" w:rsidR="00315977" w:rsidRDefault="00315977" w:rsidP="00CE7808">
      <w:pPr>
        <w:widowControl w:val="0"/>
        <w:numPr>
          <w:ilvl w:val="0"/>
          <w:numId w:val="55"/>
        </w:numPr>
        <w:tabs>
          <w:tab w:val="left" w:pos="284"/>
          <w:tab w:val="left" w:pos="773"/>
        </w:tabs>
        <w:ind w:left="284" w:hanging="284"/>
        <w:jc w:val="both"/>
        <w:rPr>
          <w:rFonts w:eastAsia="Arial"/>
          <w:sz w:val="22"/>
          <w:szCs w:val="22"/>
          <w:lang w:bidi="pl-PL"/>
        </w:rPr>
      </w:pPr>
      <w:bookmarkStart w:id="173" w:name="bookmark23"/>
      <w:bookmarkEnd w:id="173"/>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CE7808">
      <w:pPr>
        <w:pStyle w:val="Akapitzlist"/>
        <w:numPr>
          <w:ilvl w:val="0"/>
          <w:numId w:val="55"/>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CE7808">
      <w:pPr>
        <w:widowControl w:val="0"/>
        <w:numPr>
          <w:ilvl w:val="0"/>
          <w:numId w:val="53"/>
        </w:numPr>
        <w:tabs>
          <w:tab w:val="left" w:pos="284"/>
        </w:tabs>
        <w:ind w:left="284" w:hanging="284"/>
        <w:jc w:val="both"/>
        <w:rPr>
          <w:rFonts w:eastAsia="Tahoma"/>
          <w:sz w:val="22"/>
          <w:szCs w:val="22"/>
          <w:lang w:bidi="pl-PL"/>
        </w:rPr>
      </w:pPr>
      <w:r w:rsidRPr="00052F47">
        <w:rPr>
          <w:rFonts w:eastAsia="Tahoma"/>
          <w:sz w:val="22"/>
          <w:szCs w:val="22"/>
          <w:lang w:bidi="pl-PL"/>
        </w:rPr>
        <w:t>Wykonawca zobowiązany jest złożyć za pośrednictwem mimiportalu, podpisane przez osoby uprawnione kwalifikowanym podpisem elektronicznym, następujące dokumenty:</w:t>
      </w:r>
    </w:p>
    <w:p w14:paraId="1BEF6D3D" w14:textId="7EE075F2"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4" w:name="bookmark177"/>
      <w:bookmarkEnd w:id="174"/>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05740552" w:rsidR="009F028C" w:rsidRPr="008E62F6" w:rsidRDefault="009F028C" w:rsidP="00CE7808">
      <w:pPr>
        <w:widowControl w:val="0"/>
        <w:numPr>
          <w:ilvl w:val="0"/>
          <w:numId w:val="38"/>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5"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 2.6., 2.7., 2.8., 2.9., 2.10., 2.11., 2.12., 2.13., 2.14.</w:t>
      </w:r>
      <w:r w:rsidRPr="008E62F6">
        <w:rPr>
          <w:rFonts w:eastAsia="Tahoma"/>
          <w:b/>
          <w:i/>
          <w:sz w:val="22"/>
          <w:szCs w:val="22"/>
          <w:lang w:bidi="pl-PL"/>
        </w:rPr>
        <w:t xml:space="preserve"> 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6" w:name="bookmark178"/>
      <w:bookmarkEnd w:id="175"/>
      <w:bookmarkEnd w:id="176"/>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7" w:name="bookmark179"/>
      <w:bookmarkEnd w:id="177"/>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8" w:name="bookmark180"/>
      <w:bookmarkEnd w:id="178"/>
      <w:r w:rsidRPr="00052F47">
        <w:rPr>
          <w:rFonts w:eastAsia="Tahoma"/>
          <w:sz w:val="22"/>
          <w:szCs w:val="22"/>
          <w:lang w:bidi="pl-PL"/>
        </w:rPr>
        <w:lastRenderedPageBreak/>
        <w:t>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Pzp - jeżeli zachodzi taka okoliczność,</w:t>
      </w:r>
    </w:p>
    <w:p w14:paraId="092E7D26" w14:textId="5350909D" w:rsidR="00052F47" w:rsidRPr="00DD7E14" w:rsidRDefault="00052F47" w:rsidP="00CE7808">
      <w:pPr>
        <w:widowControl w:val="0"/>
        <w:numPr>
          <w:ilvl w:val="0"/>
          <w:numId w:val="38"/>
        </w:numPr>
        <w:tabs>
          <w:tab w:val="left" w:pos="284"/>
          <w:tab w:val="left" w:pos="1128"/>
        </w:tabs>
        <w:ind w:left="284" w:hanging="284"/>
        <w:jc w:val="both"/>
        <w:rPr>
          <w:rFonts w:eastAsia="Tahoma"/>
          <w:i/>
          <w:sz w:val="22"/>
          <w:szCs w:val="22"/>
          <w:lang w:bidi="pl-PL"/>
        </w:rPr>
      </w:pPr>
      <w:bookmarkStart w:id="179" w:name="bookmark181"/>
      <w:bookmarkEnd w:id="179"/>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CE7808">
      <w:pPr>
        <w:keepNext/>
        <w:keepLines/>
        <w:widowControl w:val="0"/>
        <w:numPr>
          <w:ilvl w:val="0"/>
          <w:numId w:val="38"/>
        </w:numPr>
        <w:tabs>
          <w:tab w:val="left" w:pos="284"/>
          <w:tab w:val="left" w:pos="1128"/>
        </w:tabs>
        <w:ind w:left="284" w:hanging="284"/>
        <w:jc w:val="both"/>
        <w:outlineLvl w:val="2"/>
        <w:rPr>
          <w:rFonts w:eastAsia="Calibri"/>
          <w:b/>
          <w:bCs/>
          <w:sz w:val="22"/>
          <w:szCs w:val="22"/>
          <w:lang w:bidi="pl-PL"/>
        </w:rPr>
      </w:pPr>
      <w:bookmarkStart w:id="180" w:name="bookmark182"/>
      <w:bookmarkEnd w:id="180"/>
      <w:r w:rsidRPr="00052F47">
        <w:rPr>
          <w:rFonts w:eastAsia="Tahoma"/>
          <w:sz w:val="22"/>
          <w:szCs w:val="22"/>
          <w:lang w:bidi="pl-PL"/>
        </w:rPr>
        <w:t xml:space="preserve">Dokument potwierdzający wniesienie wadium </w:t>
      </w:r>
      <w:bookmarkStart w:id="181" w:name="bookmark183"/>
      <w:bookmarkEnd w:id="181"/>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2"/>
      <w:bookmarkEnd w:id="163"/>
      <w:bookmarkEnd w:id="164"/>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CE7808">
      <w:pPr>
        <w:widowControl w:val="0"/>
        <w:numPr>
          <w:ilvl w:val="0"/>
          <w:numId w:val="39"/>
        </w:numPr>
        <w:tabs>
          <w:tab w:val="left" w:pos="418"/>
        </w:tabs>
        <w:ind w:left="284" w:hanging="284"/>
        <w:jc w:val="both"/>
        <w:rPr>
          <w:rFonts w:eastAsia="Tahoma"/>
          <w:sz w:val="22"/>
          <w:szCs w:val="22"/>
          <w:lang w:bidi="pl-PL"/>
        </w:rPr>
      </w:pPr>
      <w:bookmarkStart w:id="182" w:name="bookmark188"/>
      <w:bookmarkEnd w:id="182"/>
      <w:r w:rsidRPr="00B64271">
        <w:rPr>
          <w:rFonts w:eastAsia="Tahoma"/>
          <w:b/>
          <w:bCs/>
          <w:sz w:val="22"/>
          <w:szCs w:val="22"/>
          <w:lang w:bidi="pl-PL"/>
        </w:rPr>
        <w:t>MIEJSCE I TERMIN SKŁADANIA OFERT</w:t>
      </w:r>
    </w:p>
    <w:p w14:paraId="0C11B188" w14:textId="319CA9CA" w:rsidR="00A05C52" w:rsidRPr="00A05C52" w:rsidRDefault="00A05C52" w:rsidP="00CE7808">
      <w:pPr>
        <w:pStyle w:val="Akapitzlist"/>
        <w:widowControl w:val="0"/>
        <w:numPr>
          <w:ilvl w:val="0"/>
          <w:numId w:val="52"/>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dniu </w:t>
      </w:r>
      <w:r w:rsidR="00560622" w:rsidRPr="00560622">
        <w:rPr>
          <w:b/>
          <w:bCs/>
          <w:sz w:val="22"/>
          <w:szCs w:val="22"/>
          <w:u w:val="single"/>
          <w:lang w:val="pl-PL" w:eastAsia="ar-SA"/>
        </w:rPr>
        <w:t>16</w:t>
      </w:r>
      <w:r w:rsidR="00FD49B6" w:rsidRPr="00560622">
        <w:rPr>
          <w:b/>
          <w:bCs/>
          <w:sz w:val="22"/>
          <w:szCs w:val="22"/>
          <w:u w:val="single"/>
          <w:lang w:val="pl-PL" w:eastAsia="ar-SA"/>
        </w:rPr>
        <w:t>.</w:t>
      </w:r>
      <w:r w:rsidR="00C80104" w:rsidRPr="00560622">
        <w:rPr>
          <w:b/>
          <w:bCs/>
          <w:sz w:val="22"/>
          <w:szCs w:val="22"/>
          <w:u w:val="single"/>
          <w:lang w:val="pl-PL" w:eastAsia="ar-SA"/>
        </w:rPr>
        <w:t>11</w:t>
      </w:r>
      <w:r w:rsidRPr="00560622">
        <w:rPr>
          <w:b/>
          <w:bCs/>
          <w:sz w:val="22"/>
          <w:szCs w:val="22"/>
          <w:u w:val="single"/>
          <w:lang w:val="pl-PL" w:eastAsia="ar-SA"/>
        </w:rPr>
        <w:t xml:space="preserve">.2021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6A0F5639"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3" w:name="_Hlk71704461"/>
      <w:r w:rsidRPr="00052F47">
        <w:rPr>
          <w:b/>
          <w:bCs/>
          <w:sz w:val="22"/>
          <w:szCs w:val="22"/>
          <w:u w:val="single"/>
          <w:lang w:eastAsia="ar-SA"/>
        </w:rPr>
        <w:t xml:space="preserve">w dniu </w:t>
      </w:r>
      <w:r w:rsidR="00560622" w:rsidRPr="00560622">
        <w:rPr>
          <w:b/>
          <w:bCs/>
          <w:sz w:val="22"/>
          <w:szCs w:val="22"/>
          <w:u w:val="single"/>
          <w:lang w:val="pl-PL" w:eastAsia="ar-SA"/>
        </w:rPr>
        <w:t>16</w:t>
      </w:r>
      <w:r w:rsidR="00FD49B6" w:rsidRPr="00560622">
        <w:rPr>
          <w:b/>
          <w:bCs/>
          <w:sz w:val="22"/>
          <w:szCs w:val="22"/>
          <w:u w:val="single"/>
          <w:lang w:val="pl-PL" w:eastAsia="ar-SA"/>
        </w:rPr>
        <w:t>.</w:t>
      </w:r>
      <w:r w:rsidR="00C80104" w:rsidRPr="00560622">
        <w:rPr>
          <w:b/>
          <w:bCs/>
          <w:sz w:val="22"/>
          <w:szCs w:val="22"/>
          <w:u w:val="single"/>
          <w:lang w:val="pl-PL" w:eastAsia="ar-SA"/>
        </w:rPr>
        <w:t>11</w:t>
      </w:r>
      <w:r w:rsidR="005B33F1" w:rsidRPr="00560622">
        <w:rPr>
          <w:b/>
          <w:bCs/>
          <w:sz w:val="22"/>
          <w:szCs w:val="22"/>
          <w:u w:val="single"/>
          <w:lang w:val="pl-PL" w:eastAsia="ar-SA"/>
        </w:rPr>
        <w:t xml:space="preserve">.2021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3"/>
    </w:p>
    <w:p w14:paraId="536DDCFD"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miniPortalu i następuje poprzez wskazanie pliku do odszyfrowania. </w:t>
      </w:r>
    </w:p>
    <w:p w14:paraId="48D50C6B"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CE7808">
      <w:pPr>
        <w:numPr>
          <w:ilvl w:val="0"/>
          <w:numId w:val="52"/>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CE7808">
      <w:pPr>
        <w:numPr>
          <w:ilvl w:val="0"/>
          <w:numId w:val="52"/>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4" w:name="bookmark196"/>
      <w:bookmarkStart w:id="185" w:name="bookmark201"/>
      <w:bookmarkStart w:id="186" w:name="bookmark202"/>
      <w:bookmarkStart w:id="187" w:name="bookmark203"/>
      <w:bookmarkEnd w:id="184"/>
      <w:r w:rsidRPr="00B64271">
        <w:rPr>
          <w:rFonts w:eastAsia="Calibri"/>
          <w:b/>
          <w:bCs/>
          <w:sz w:val="22"/>
          <w:szCs w:val="22"/>
          <w:lang w:bidi="pl-PL"/>
        </w:rPr>
        <w:t>Rozdział XII.</w:t>
      </w:r>
      <w:bookmarkEnd w:id="185"/>
      <w:bookmarkEnd w:id="186"/>
      <w:bookmarkEnd w:id="187"/>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1B45AE07" w:rsidR="00B64271" w:rsidRP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88" w:name="bookmark204"/>
      <w:bookmarkEnd w:id="188"/>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dnia </w:t>
      </w:r>
      <w:r w:rsidR="00A02DD2" w:rsidRPr="00A02DD2">
        <w:rPr>
          <w:rFonts w:eastAsia="Tahoma"/>
          <w:b/>
          <w:bCs/>
          <w:sz w:val="22"/>
          <w:szCs w:val="22"/>
          <w:lang w:bidi="pl-PL"/>
        </w:rPr>
        <w:t>13</w:t>
      </w:r>
      <w:r w:rsidR="00344D78" w:rsidRPr="00A02DD2">
        <w:rPr>
          <w:rFonts w:eastAsia="Tahoma"/>
          <w:b/>
          <w:bCs/>
          <w:sz w:val="22"/>
          <w:szCs w:val="22"/>
          <w:lang w:bidi="pl-PL"/>
        </w:rPr>
        <w:t>.</w:t>
      </w:r>
      <w:r w:rsidR="00A02DD2" w:rsidRPr="00A02DD2">
        <w:rPr>
          <w:rFonts w:eastAsia="Tahoma"/>
          <w:b/>
          <w:bCs/>
          <w:sz w:val="22"/>
          <w:szCs w:val="22"/>
          <w:lang w:bidi="pl-PL"/>
        </w:rPr>
        <w:t>0</w:t>
      </w:r>
      <w:r w:rsidR="00C80104" w:rsidRPr="00A02DD2">
        <w:rPr>
          <w:rFonts w:eastAsia="Tahoma"/>
          <w:b/>
          <w:bCs/>
          <w:sz w:val="22"/>
          <w:szCs w:val="22"/>
          <w:lang w:bidi="pl-PL"/>
        </w:rPr>
        <w:t>2</w:t>
      </w:r>
      <w:r w:rsidR="00344D78" w:rsidRPr="00A02DD2">
        <w:rPr>
          <w:rFonts w:eastAsia="Tahoma"/>
          <w:b/>
          <w:bCs/>
          <w:sz w:val="22"/>
          <w:szCs w:val="22"/>
          <w:lang w:bidi="pl-PL"/>
        </w:rPr>
        <w:t>.202</w:t>
      </w:r>
      <w:r w:rsidR="00560622" w:rsidRPr="00A02DD2">
        <w:rPr>
          <w:rFonts w:eastAsia="Tahoma"/>
          <w:b/>
          <w:bCs/>
          <w:sz w:val="22"/>
          <w:szCs w:val="22"/>
          <w:lang w:bidi="pl-PL"/>
        </w:rPr>
        <w:t>2</w:t>
      </w:r>
      <w:r w:rsidRPr="00A02DD2">
        <w:rPr>
          <w:rFonts w:eastAsia="Tahoma"/>
          <w:b/>
          <w:bCs/>
          <w:sz w:val="22"/>
          <w:szCs w:val="22"/>
          <w:lang w:bidi="pl-PL"/>
        </w:rPr>
        <w:t>r</w:t>
      </w:r>
      <w:r w:rsidRPr="00FD49B6">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89" w:name="bookmark205"/>
      <w:bookmarkEnd w:id="189"/>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90" w:name="bookmark206"/>
      <w:bookmarkStart w:id="191" w:name="bookmark207"/>
      <w:bookmarkStart w:id="192" w:name="bookmark208"/>
      <w:r w:rsidRPr="00B64271">
        <w:rPr>
          <w:rFonts w:eastAsia="Calibri"/>
          <w:b/>
          <w:bCs/>
          <w:sz w:val="22"/>
          <w:szCs w:val="22"/>
          <w:shd w:val="clear" w:color="auto" w:fill="FFFFFF"/>
          <w:lang w:bidi="pl-PL"/>
        </w:rPr>
        <w:t>Rozdział XIII.</w:t>
      </w:r>
      <w:bookmarkEnd w:id="190"/>
      <w:bookmarkEnd w:id="191"/>
      <w:bookmarkEnd w:id="192"/>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lastRenderedPageBreak/>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3" w:name="bookmark209"/>
      <w:bookmarkStart w:id="194" w:name="bookmark217"/>
      <w:bookmarkStart w:id="195" w:name="bookmark218"/>
      <w:bookmarkStart w:id="196" w:name="bookmark219"/>
      <w:bookmarkEnd w:id="193"/>
      <w:r w:rsidRPr="00B64271">
        <w:rPr>
          <w:rFonts w:eastAsia="Calibri"/>
          <w:b/>
          <w:bCs/>
          <w:sz w:val="22"/>
          <w:szCs w:val="22"/>
          <w:lang w:bidi="pl-PL"/>
        </w:rPr>
        <w:t>Rozdział XIV.</w:t>
      </w:r>
      <w:bookmarkEnd w:id="194"/>
      <w:bookmarkEnd w:id="195"/>
      <w:bookmarkEnd w:id="196"/>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CE7808">
      <w:pPr>
        <w:widowControl w:val="0"/>
        <w:numPr>
          <w:ilvl w:val="0"/>
          <w:numId w:val="41"/>
        </w:numPr>
        <w:tabs>
          <w:tab w:val="left" w:pos="284"/>
        </w:tabs>
        <w:ind w:left="284" w:hanging="284"/>
        <w:jc w:val="both"/>
        <w:rPr>
          <w:rFonts w:eastAsia="Tahoma"/>
          <w:sz w:val="22"/>
          <w:szCs w:val="22"/>
          <w:lang w:bidi="pl-PL"/>
        </w:rPr>
      </w:pPr>
      <w:bookmarkStart w:id="197" w:name="bookmark220"/>
      <w:bookmarkEnd w:id="197"/>
      <w:r w:rsidRPr="00B64271">
        <w:rPr>
          <w:rFonts w:eastAsia="Tahoma"/>
          <w:b/>
          <w:bCs/>
          <w:sz w:val="22"/>
          <w:szCs w:val="22"/>
          <w:lang w:bidi="pl-PL"/>
        </w:rPr>
        <w:t>TRYB OCENY OFERT</w:t>
      </w:r>
    </w:p>
    <w:p w14:paraId="58DBF6C2" w14:textId="77777777" w:rsidR="00B64271" w:rsidRPr="00B64271" w:rsidRDefault="00B64271" w:rsidP="00CE7808">
      <w:pPr>
        <w:widowControl w:val="0"/>
        <w:numPr>
          <w:ilvl w:val="0"/>
          <w:numId w:val="42"/>
        </w:numPr>
        <w:tabs>
          <w:tab w:val="left" w:pos="677"/>
        </w:tabs>
        <w:ind w:left="284" w:hanging="284"/>
        <w:jc w:val="both"/>
        <w:rPr>
          <w:rFonts w:eastAsia="Tahoma"/>
          <w:sz w:val="22"/>
          <w:szCs w:val="22"/>
          <w:lang w:bidi="pl-PL"/>
        </w:rPr>
      </w:pPr>
      <w:bookmarkStart w:id="198" w:name="bookmark221"/>
      <w:bookmarkEnd w:id="198"/>
      <w:r w:rsidRPr="00B64271">
        <w:rPr>
          <w:rFonts w:eastAsia="Tahoma"/>
          <w:sz w:val="22"/>
          <w:szCs w:val="22"/>
          <w:lang w:bidi="pl-PL"/>
        </w:rPr>
        <w:t>Zamawiający zgodnie z art. 139 ustawy Pzp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CE7808">
      <w:pPr>
        <w:widowControl w:val="0"/>
        <w:numPr>
          <w:ilvl w:val="0"/>
          <w:numId w:val="42"/>
        </w:numPr>
        <w:tabs>
          <w:tab w:val="left" w:pos="567"/>
        </w:tabs>
        <w:ind w:left="284" w:hanging="284"/>
        <w:jc w:val="both"/>
        <w:rPr>
          <w:rFonts w:eastAsia="Tahoma"/>
          <w:sz w:val="22"/>
          <w:szCs w:val="22"/>
          <w:lang w:bidi="pl-PL"/>
        </w:rPr>
      </w:pPr>
      <w:bookmarkStart w:id="199" w:name="bookmark222"/>
      <w:bookmarkEnd w:id="199"/>
      <w:r w:rsidRPr="00B64271">
        <w:rPr>
          <w:rFonts w:eastAsia="Tahoma"/>
          <w:sz w:val="22"/>
          <w:szCs w:val="22"/>
          <w:lang w:bidi="pl-PL"/>
        </w:rPr>
        <w:t>Zamawiający poprawi w ofercie:</w:t>
      </w:r>
    </w:p>
    <w:p w14:paraId="69CFA781"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0" w:name="bookmark223"/>
      <w:bookmarkEnd w:id="200"/>
      <w:r w:rsidRPr="00B64271">
        <w:rPr>
          <w:rFonts w:eastAsia="Tahoma"/>
          <w:sz w:val="22"/>
          <w:szCs w:val="22"/>
          <w:lang w:bidi="pl-PL"/>
        </w:rPr>
        <w:t>oczywiste omyłki pisarskie,</w:t>
      </w:r>
    </w:p>
    <w:p w14:paraId="5E59EB3C"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1" w:name="bookmark224"/>
      <w:bookmarkEnd w:id="201"/>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2" w:name="bookmark225"/>
      <w:bookmarkEnd w:id="202"/>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CE7808">
      <w:pPr>
        <w:pStyle w:val="Akapitzlist"/>
        <w:widowControl w:val="0"/>
        <w:numPr>
          <w:ilvl w:val="0"/>
          <w:numId w:val="41"/>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7339" w:type="dxa"/>
        <w:jc w:val="center"/>
        <w:tblLayout w:type="fixed"/>
        <w:tblCellMar>
          <w:left w:w="10" w:type="dxa"/>
          <w:right w:w="10" w:type="dxa"/>
        </w:tblCellMar>
        <w:tblLook w:val="0000" w:firstRow="0" w:lastRow="0" w:firstColumn="0" w:lastColumn="0" w:noHBand="0" w:noVBand="0"/>
      </w:tblPr>
      <w:tblGrid>
        <w:gridCol w:w="4504"/>
        <w:gridCol w:w="2835"/>
      </w:tblGrid>
      <w:tr w:rsidR="00B64271" w:rsidRPr="00B64271" w14:paraId="54BA9B52" w14:textId="77777777" w:rsidTr="00674EC8">
        <w:trPr>
          <w:trHeight w:hRule="exact" w:val="514"/>
          <w:jc w:val="center"/>
        </w:trPr>
        <w:tc>
          <w:tcPr>
            <w:tcW w:w="4504"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835"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674EC8">
        <w:trPr>
          <w:trHeight w:hRule="exact" w:val="422"/>
          <w:jc w:val="center"/>
        </w:trPr>
        <w:tc>
          <w:tcPr>
            <w:tcW w:w="4504" w:type="dxa"/>
            <w:tcBorders>
              <w:top w:val="single" w:sz="4" w:space="0" w:color="auto"/>
              <w:left w:val="single" w:sz="4" w:space="0" w:color="auto"/>
            </w:tcBorders>
            <w:shd w:val="clear" w:color="auto" w:fill="FFFFFF"/>
            <w:vAlign w:val="center"/>
          </w:tcPr>
          <w:p w14:paraId="15E568D1" w14:textId="77777777" w:rsidR="00B64271" w:rsidRPr="001B0215" w:rsidRDefault="00B64271" w:rsidP="00052F47">
            <w:pPr>
              <w:widowControl w:val="0"/>
              <w:ind w:firstLine="284"/>
              <w:jc w:val="both"/>
              <w:rPr>
                <w:rFonts w:eastAsia="Tahoma"/>
                <w:sz w:val="22"/>
                <w:szCs w:val="22"/>
                <w:lang w:bidi="pl-PL"/>
              </w:rPr>
            </w:pPr>
            <w:r w:rsidRPr="001B0215">
              <w:rPr>
                <w:rFonts w:eastAsia="Tahoma"/>
                <w:sz w:val="22"/>
                <w:szCs w:val="22"/>
                <w:lang w:bidi="pl-PL"/>
              </w:rPr>
              <w:t>Cena(C)</w:t>
            </w:r>
          </w:p>
        </w:tc>
        <w:tc>
          <w:tcPr>
            <w:tcW w:w="2835"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674EC8">
        <w:trPr>
          <w:trHeight w:hRule="exact" w:val="278"/>
          <w:jc w:val="center"/>
        </w:trPr>
        <w:tc>
          <w:tcPr>
            <w:tcW w:w="4504" w:type="dxa"/>
            <w:tcBorders>
              <w:top w:val="single" w:sz="4" w:space="0" w:color="auto"/>
              <w:left w:val="single" w:sz="4" w:space="0" w:color="auto"/>
              <w:bottom w:val="single" w:sz="4" w:space="0" w:color="auto"/>
            </w:tcBorders>
            <w:shd w:val="clear" w:color="auto" w:fill="FFFFFF"/>
            <w:vAlign w:val="center"/>
          </w:tcPr>
          <w:p w14:paraId="1A64B5BD" w14:textId="53440E21" w:rsidR="00B64271" w:rsidRPr="00D00A83" w:rsidRDefault="00C80104" w:rsidP="00052F47">
            <w:pPr>
              <w:widowControl w:val="0"/>
              <w:ind w:firstLine="284"/>
              <w:jc w:val="both"/>
              <w:rPr>
                <w:rFonts w:eastAsia="Tahoma"/>
                <w:bCs/>
                <w:sz w:val="22"/>
                <w:szCs w:val="22"/>
                <w:lang w:bidi="pl-PL"/>
              </w:rPr>
            </w:pPr>
            <w:r>
              <w:rPr>
                <w:bCs/>
                <w:sz w:val="22"/>
                <w:szCs w:val="22"/>
              </w:rPr>
              <w:t>Średnia arytmetyczna marży procentowej</w:t>
            </w:r>
            <w:r w:rsidR="00D00A83">
              <w:rPr>
                <w:bCs/>
                <w:sz w:val="22"/>
                <w:szCs w:val="22"/>
              </w:rPr>
              <w:t xml:space="preserve"> (</w:t>
            </w:r>
            <w:r>
              <w:rPr>
                <w:bCs/>
                <w:sz w:val="22"/>
                <w:szCs w:val="22"/>
              </w:rPr>
              <w:t>Ś</w:t>
            </w:r>
            <w:r w:rsidR="00D00A83">
              <w:rPr>
                <w:bCs/>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3" w:name="bookmark226"/>
      <w:bookmarkEnd w:id="203"/>
    </w:p>
    <w:p w14:paraId="5CB1E014" w14:textId="77777777" w:rsidR="00B64271" w:rsidRPr="00B64271" w:rsidRDefault="00B64271" w:rsidP="00CE7808">
      <w:pPr>
        <w:widowControl w:val="0"/>
        <w:numPr>
          <w:ilvl w:val="0"/>
          <w:numId w:val="57"/>
        </w:numPr>
        <w:tabs>
          <w:tab w:val="left" w:pos="426"/>
        </w:tabs>
        <w:jc w:val="both"/>
        <w:rPr>
          <w:rFonts w:eastAsia="Tahoma"/>
          <w:sz w:val="22"/>
          <w:szCs w:val="22"/>
          <w:lang w:bidi="pl-PL"/>
        </w:rPr>
      </w:pPr>
      <w:r w:rsidRPr="00B64271">
        <w:rPr>
          <w:rFonts w:eastAsia="Tahoma"/>
          <w:b/>
          <w:bCs/>
          <w:sz w:val="22"/>
          <w:szCs w:val="22"/>
          <w:lang w:bidi="pl-PL"/>
        </w:rPr>
        <w:t>ZASADY OCENY OFERT WEDŁUG USTALONYCH KRYTERIÓW</w:t>
      </w:r>
    </w:p>
    <w:p w14:paraId="38239559" w14:textId="77777777" w:rsidR="00674EC8" w:rsidRPr="00344D78" w:rsidRDefault="00674EC8" w:rsidP="00674EC8">
      <w:pPr>
        <w:numPr>
          <w:ilvl w:val="6"/>
          <w:numId w:val="3"/>
        </w:numPr>
        <w:ind w:left="284" w:hanging="284"/>
        <w:jc w:val="both"/>
        <w:rPr>
          <w:sz w:val="22"/>
          <w:szCs w:val="22"/>
        </w:rPr>
      </w:pPr>
      <w:bookmarkStart w:id="204" w:name="bookmark227"/>
      <w:bookmarkEnd w:id="204"/>
      <w:r w:rsidRPr="00344D78">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344D78" w:rsidRDefault="00674EC8" w:rsidP="00674EC8">
      <w:pPr>
        <w:numPr>
          <w:ilvl w:val="6"/>
          <w:numId w:val="3"/>
        </w:numPr>
        <w:tabs>
          <w:tab w:val="left" w:pos="284"/>
        </w:tabs>
        <w:ind w:hanging="5040"/>
        <w:rPr>
          <w:sz w:val="22"/>
          <w:szCs w:val="22"/>
          <w:lang w:val="x-none"/>
        </w:rPr>
      </w:pPr>
      <w:r w:rsidRPr="00344D78">
        <w:rPr>
          <w:b/>
          <w:sz w:val="22"/>
          <w:szCs w:val="22"/>
        </w:rPr>
        <w:t>O</w:t>
      </w:r>
      <w:r w:rsidRPr="00344D78">
        <w:rPr>
          <w:b/>
          <w:sz w:val="22"/>
          <w:szCs w:val="22"/>
          <w:lang w:val="x-none"/>
        </w:rPr>
        <w:t>pis stosowanych kryteriów oraz sposób oceny ofert</w:t>
      </w:r>
      <w:r w:rsidRPr="00344D78">
        <w:rPr>
          <w:sz w:val="22"/>
          <w:szCs w:val="22"/>
          <w:lang w:val="x-none"/>
        </w:rPr>
        <w:t>:</w:t>
      </w:r>
    </w:p>
    <w:p w14:paraId="62E6B8A1" w14:textId="45BF89DA" w:rsidR="00674EC8" w:rsidRPr="00344D78" w:rsidRDefault="00674EC8" w:rsidP="00CE7808">
      <w:pPr>
        <w:numPr>
          <w:ilvl w:val="0"/>
          <w:numId w:val="49"/>
        </w:numPr>
        <w:spacing w:before="120"/>
        <w:ind w:left="284" w:hanging="284"/>
        <w:rPr>
          <w:sz w:val="22"/>
          <w:szCs w:val="22"/>
          <w:lang w:val="x-none"/>
        </w:rPr>
      </w:pPr>
      <w:r w:rsidRPr="00344D78">
        <w:rPr>
          <w:b/>
          <w:sz w:val="22"/>
          <w:szCs w:val="22"/>
          <w:u w:val="single"/>
          <w:lang w:val="x-none"/>
        </w:rPr>
        <w:t>zasady przyznawania punktów w kryterium „cena” (C)</w:t>
      </w:r>
      <w:r w:rsidR="003426A3">
        <w:rPr>
          <w:b/>
          <w:sz w:val="22"/>
          <w:szCs w:val="22"/>
          <w:u w:val="single"/>
        </w:rPr>
        <w:t xml:space="preserve"> </w:t>
      </w:r>
    </w:p>
    <w:p w14:paraId="4845EC7A" w14:textId="6D9344B3" w:rsidR="00674EC8" w:rsidRPr="00344D78" w:rsidRDefault="00674EC8" w:rsidP="00674EC8">
      <w:pPr>
        <w:jc w:val="both"/>
        <w:rPr>
          <w:sz w:val="22"/>
          <w:szCs w:val="22"/>
        </w:rPr>
      </w:pPr>
      <w:r w:rsidRPr="00344D78">
        <w:rPr>
          <w:b/>
          <w:sz w:val="22"/>
          <w:szCs w:val="22"/>
        </w:rPr>
        <w:t>Cena</w:t>
      </w:r>
      <w:r w:rsidRPr="00344D78">
        <w:rPr>
          <w:sz w:val="22"/>
          <w:szCs w:val="22"/>
        </w:rPr>
        <w:t xml:space="preserve"> - oznacza cenę łączną brutto za wykonanie całości przedmiotu zamówienia zgodnie z SWZ oraz umową. Cena wskazana w formularzu oferty oceniana będzie w następujący sposób:</w:t>
      </w:r>
    </w:p>
    <w:p w14:paraId="3D8DE50E" w14:textId="38C11A7B" w:rsidR="00674EC8" w:rsidRPr="00344D78" w:rsidRDefault="00674EC8" w:rsidP="00674EC8">
      <w:pPr>
        <w:rPr>
          <w:b/>
          <w:sz w:val="22"/>
          <w:szCs w:val="22"/>
        </w:rPr>
      </w:pPr>
      <w:r w:rsidRPr="00344D78">
        <w:rPr>
          <w:sz w:val="22"/>
          <w:szCs w:val="22"/>
        </w:rPr>
        <w:t xml:space="preserve">                         </w:t>
      </w:r>
      <w:r w:rsidR="003426A3">
        <w:rPr>
          <w:b/>
          <w:sz w:val="22"/>
          <w:szCs w:val="22"/>
        </w:rPr>
        <w:t>C min.</w:t>
      </w:r>
      <w:r w:rsidRPr="00344D78">
        <w:rPr>
          <w:b/>
          <w:sz w:val="22"/>
          <w:szCs w:val="22"/>
        </w:rPr>
        <w:t xml:space="preserve"> </w:t>
      </w:r>
    </w:p>
    <w:p w14:paraId="079910AC" w14:textId="5EFB930A" w:rsidR="00674EC8" w:rsidRPr="00344D78" w:rsidRDefault="00674EC8" w:rsidP="00674EC8">
      <w:pPr>
        <w:rPr>
          <w:b/>
          <w:sz w:val="22"/>
          <w:szCs w:val="22"/>
        </w:rPr>
      </w:pPr>
      <w:r w:rsidRPr="00344D78">
        <w:rPr>
          <w:b/>
          <w:sz w:val="22"/>
          <w:szCs w:val="22"/>
        </w:rPr>
        <w:t xml:space="preserve">C =     -------------------------- x </w:t>
      </w:r>
      <w:r w:rsidR="003426A3">
        <w:rPr>
          <w:b/>
          <w:sz w:val="22"/>
          <w:szCs w:val="22"/>
        </w:rPr>
        <w:t>60</w:t>
      </w:r>
      <w:r w:rsidRPr="00344D78">
        <w:rPr>
          <w:b/>
          <w:sz w:val="22"/>
          <w:szCs w:val="22"/>
        </w:rPr>
        <w:t xml:space="preserve">% </w:t>
      </w:r>
    </w:p>
    <w:p w14:paraId="16214E02" w14:textId="73EF96F3" w:rsidR="00674EC8" w:rsidRPr="00344D78" w:rsidRDefault="00674EC8" w:rsidP="00674EC8">
      <w:pPr>
        <w:rPr>
          <w:b/>
          <w:sz w:val="22"/>
          <w:szCs w:val="22"/>
        </w:rPr>
      </w:pPr>
      <w:r w:rsidRPr="00344D78">
        <w:rPr>
          <w:b/>
          <w:sz w:val="22"/>
          <w:szCs w:val="22"/>
        </w:rPr>
        <w:t xml:space="preserve">                        </w:t>
      </w:r>
      <w:r w:rsidR="003426A3">
        <w:rPr>
          <w:b/>
          <w:sz w:val="22"/>
          <w:szCs w:val="22"/>
        </w:rPr>
        <w:t>C bad.</w:t>
      </w:r>
    </w:p>
    <w:p w14:paraId="7DC9FDF9" w14:textId="77777777" w:rsidR="003426A3" w:rsidRPr="007E175C" w:rsidRDefault="003426A3" w:rsidP="003426A3">
      <w:pPr>
        <w:spacing w:line="360" w:lineRule="auto"/>
        <w:ind w:left="284" w:hanging="284"/>
        <w:jc w:val="both"/>
        <w:rPr>
          <w:bCs/>
          <w:color w:val="000000" w:themeColor="text1"/>
          <w:sz w:val="22"/>
          <w:szCs w:val="22"/>
        </w:rPr>
      </w:pPr>
      <w:r w:rsidRPr="007E175C">
        <w:rPr>
          <w:bCs/>
          <w:color w:val="000000" w:themeColor="text1"/>
          <w:sz w:val="22"/>
          <w:szCs w:val="22"/>
        </w:rPr>
        <w:t>Gdzie:</w:t>
      </w:r>
    </w:p>
    <w:p w14:paraId="492142A7" w14:textId="77777777" w:rsidR="003426A3" w:rsidRPr="007E175C" w:rsidRDefault="003426A3" w:rsidP="003426A3">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1C06CAA0" w14:textId="77777777" w:rsidR="003426A3" w:rsidRPr="007E175C" w:rsidRDefault="003426A3" w:rsidP="003426A3">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bad</w:t>
      </w:r>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4B981A51" w14:textId="77777777" w:rsidR="003426A3" w:rsidRPr="007E175C" w:rsidRDefault="003426A3" w:rsidP="003426A3">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lastRenderedPageBreak/>
        <w:t>Ocena punktowa oferty będzie zaokrąglona do dwóch miejsc po przecinku liczbą.</w:t>
      </w:r>
    </w:p>
    <w:p w14:paraId="4E90A756" w14:textId="77777777" w:rsidR="00ED6DEE" w:rsidRPr="00344D78" w:rsidRDefault="00ED6DEE" w:rsidP="00674EC8">
      <w:pPr>
        <w:rPr>
          <w:sz w:val="22"/>
          <w:szCs w:val="22"/>
        </w:rPr>
      </w:pPr>
    </w:p>
    <w:p w14:paraId="16CCA16C" w14:textId="2B7AFE07" w:rsidR="00674EC8" w:rsidRPr="00C80104" w:rsidRDefault="00674EC8" w:rsidP="00CE7808">
      <w:pPr>
        <w:numPr>
          <w:ilvl w:val="0"/>
          <w:numId w:val="49"/>
        </w:numPr>
        <w:ind w:left="284" w:hanging="284"/>
        <w:rPr>
          <w:sz w:val="22"/>
          <w:szCs w:val="22"/>
          <w:lang w:val="x-none"/>
        </w:rPr>
      </w:pPr>
      <w:r w:rsidRPr="00344D78">
        <w:rPr>
          <w:b/>
          <w:sz w:val="22"/>
          <w:szCs w:val="22"/>
          <w:u w:val="single"/>
          <w:lang w:val="x-none"/>
        </w:rPr>
        <w:t>zasady przyznawania punktów w kryterium „</w:t>
      </w:r>
      <w:r w:rsidR="00C80104" w:rsidRPr="00C80104">
        <w:rPr>
          <w:b/>
          <w:sz w:val="22"/>
          <w:szCs w:val="22"/>
          <w:u w:val="single"/>
        </w:rPr>
        <w:t>Średnia arytmetyczna marży procentowej</w:t>
      </w:r>
      <w:r w:rsidRPr="00C80104">
        <w:rPr>
          <w:b/>
          <w:sz w:val="22"/>
          <w:szCs w:val="22"/>
          <w:u w:val="single"/>
          <w:lang w:val="x-none"/>
        </w:rPr>
        <w:t>” (</w:t>
      </w:r>
      <w:r w:rsidR="00C80104" w:rsidRPr="00C80104">
        <w:rPr>
          <w:b/>
          <w:sz w:val="22"/>
          <w:szCs w:val="22"/>
          <w:u w:val="single"/>
        </w:rPr>
        <w:t>Ś</w:t>
      </w:r>
      <w:r w:rsidR="0082036A" w:rsidRPr="00C80104">
        <w:rPr>
          <w:b/>
          <w:sz w:val="22"/>
          <w:szCs w:val="22"/>
          <w:u w:val="single"/>
        </w:rPr>
        <w:t>)</w:t>
      </w:r>
      <w:r w:rsidRPr="00C80104">
        <w:rPr>
          <w:sz w:val="22"/>
          <w:szCs w:val="22"/>
          <w:lang w:val="x-none"/>
        </w:rPr>
        <w:t>:</w:t>
      </w:r>
    </w:p>
    <w:p w14:paraId="4F423A4B" w14:textId="016B7DFE" w:rsidR="0071105B" w:rsidRPr="005143B0" w:rsidRDefault="0071105B" w:rsidP="005143B0">
      <w:pPr>
        <w:jc w:val="both"/>
        <w:rPr>
          <w:color w:val="000000"/>
          <w:sz w:val="22"/>
          <w:szCs w:val="22"/>
        </w:rPr>
      </w:pPr>
      <w:r w:rsidRPr="005143B0">
        <w:rPr>
          <w:color w:val="000000"/>
          <w:sz w:val="22"/>
          <w:szCs w:val="22"/>
        </w:rPr>
        <w:t>Kryterium średnia arytmetyczna marży procentowej będzie rozpatrywane na podstawie średniej arytmetycznej marży procentowej zadeklarowanej przez Wykonawcę w Formularzu ofertowym oraz cenowym.</w:t>
      </w:r>
    </w:p>
    <w:p w14:paraId="02DB4B44" w14:textId="006952FF" w:rsidR="00674EC8" w:rsidRPr="005143B0" w:rsidRDefault="0082036A" w:rsidP="005143B0">
      <w:pPr>
        <w:jc w:val="both"/>
        <w:rPr>
          <w:b/>
          <w:sz w:val="22"/>
          <w:szCs w:val="22"/>
        </w:rPr>
      </w:pPr>
      <w:r w:rsidRPr="005143B0">
        <w:rPr>
          <w:sz w:val="22"/>
          <w:szCs w:val="22"/>
        </w:rPr>
        <w:t>W tym kryterium oferta może uzyskać maksymalnie 40 punktów.</w:t>
      </w:r>
    </w:p>
    <w:p w14:paraId="2C1B1DBC" w14:textId="520502F8" w:rsidR="005143B0" w:rsidRDefault="005143B0" w:rsidP="005143B0">
      <w:pPr>
        <w:contextualSpacing/>
        <w:jc w:val="both"/>
        <w:rPr>
          <w:color w:val="000000"/>
          <w:sz w:val="24"/>
          <w:szCs w:val="24"/>
        </w:rPr>
      </w:pPr>
      <w:r w:rsidRPr="005B18B8">
        <w:rPr>
          <w:color w:val="000000"/>
          <w:sz w:val="24"/>
          <w:szCs w:val="24"/>
        </w:rPr>
        <w:t xml:space="preserve">Liczba </w:t>
      </w:r>
      <w:r w:rsidRPr="005B18B8">
        <w:rPr>
          <w:sz w:val="24"/>
          <w:szCs w:val="24"/>
        </w:rPr>
        <w:t>punktów</w:t>
      </w:r>
      <w:r w:rsidRPr="005B18B8">
        <w:rPr>
          <w:color w:val="000000"/>
          <w:sz w:val="24"/>
          <w:szCs w:val="24"/>
        </w:rPr>
        <w:t xml:space="preserve">, którą otrzyma oferta Wykonawcy, na podstawie </w:t>
      </w:r>
      <w:r w:rsidR="001255B1">
        <w:rPr>
          <w:color w:val="000000"/>
          <w:sz w:val="24"/>
          <w:szCs w:val="24"/>
        </w:rPr>
        <w:t>zaoferowanej marży, podanej w formularzu ofertowym</w:t>
      </w:r>
      <w:r w:rsidRPr="005B18B8">
        <w:rPr>
          <w:color w:val="000000"/>
          <w:sz w:val="24"/>
          <w:szCs w:val="24"/>
        </w:rPr>
        <w:t>, będzie obliczana według następującego wzoru:</w:t>
      </w:r>
    </w:p>
    <w:p w14:paraId="71A10BF0" w14:textId="77777777" w:rsidR="0000397A" w:rsidRPr="005B18B8" w:rsidRDefault="0000397A" w:rsidP="005143B0">
      <w:pPr>
        <w:contextualSpacing/>
        <w:jc w:val="both"/>
        <w:rPr>
          <w:color w:val="000000"/>
          <w:sz w:val="24"/>
          <w:szCs w:val="24"/>
        </w:rPr>
      </w:pPr>
    </w:p>
    <w:p w14:paraId="27507FA1" w14:textId="77777777" w:rsidR="005143B0" w:rsidRPr="005B18B8" w:rsidRDefault="005143B0" w:rsidP="005143B0">
      <w:pPr>
        <w:jc w:val="center"/>
        <w:rPr>
          <w:color w:val="000000"/>
          <w:sz w:val="24"/>
          <w:szCs w:val="24"/>
        </w:rPr>
      </w:pPr>
      <w:r w:rsidRPr="005B18B8">
        <w:rPr>
          <w:b/>
          <w:bCs/>
          <w:color w:val="000000"/>
          <w:sz w:val="24"/>
          <w:szCs w:val="24"/>
        </w:rPr>
        <w:t>Ś = (Śo/Śn) x 40</w:t>
      </w:r>
    </w:p>
    <w:p w14:paraId="563CFE28" w14:textId="77777777" w:rsidR="005143B0" w:rsidRPr="005B18B8" w:rsidRDefault="005143B0" w:rsidP="005143B0">
      <w:pPr>
        <w:ind w:left="284" w:hanging="284"/>
        <w:jc w:val="both"/>
        <w:rPr>
          <w:color w:val="000000"/>
          <w:sz w:val="24"/>
          <w:szCs w:val="24"/>
        </w:rPr>
      </w:pPr>
      <w:r w:rsidRPr="005B18B8">
        <w:rPr>
          <w:color w:val="000000"/>
          <w:sz w:val="24"/>
          <w:szCs w:val="24"/>
        </w:rPr>
        <w:t>gdzie:</w:t>
      </w:r>
    </w:p>
    <w:p w14:paraId="7CEF26FC" w14:textId="77777777" w:rsidR="005143B0" w:rsidRPr="005B18B8" w:rsidRDefault="005143B0" w:rsidP="005143B0">
      <w:pPr>
        <w:ind w:left="284" w:hanging="284"/>
        <w:jc w:val="both"/>
        <w:rPr>
          <w:color w:val="000000"/>
          <w:sz w:val="24"/>
          <w:szCs w:val="24"/>
        </w:rPr>
      </w:pPr>
      <w:r w:rsidRPr="005B18B8">
        <w:rPr>
          <w:b/>
          <w:color w:val="000000"/>
          <w:sz w:val="24"/>
          <w:szCs w:val="24"/>
        </w:rPr>
        <w:t xml:space="preserve">Ś  </w:t>
      </w:r>
      <w:r w:rsidRPr="005B18B8">
        <w:rPr>
          <w:color w:val="000000"/>
          <w:sz w:val="24"/>
          <w:szCs w:val="24"/>
        </w:rPr>
        <w:t>–</w:t>
      </w:r>
      <w:r w:rsidRPr="005B18B8">
        <w:rPr>
          <w:color w:val="000000"/>
          <w:sz w:val="24"/>
          <w:szCs w:val="24"/>
        </w:rPr>
        <w:tab/>
        <w:t xml:space="preserve">liczba punktów przyznana ofercie badanej, </w:t>
      </w:r>
    </w:p>
    <w:p w14:paraId="7DB7854F" w14:textId="77777777" w:rsidR="005143B0" w:rsidRPr="005B18B8" w:rsidRDefault="005143B0" w:rsidP="005143B0">
      <w:pPr>
        <w:ind w:left="709" w:hanging="709"/>
        <w:jc w:val="both"/>
        <w:rPr>
          <w:color w:val="000000"/>
          <w:sz w:val="24"/>
          <w:szCs w:val="24"/>
        </w:rPr>
      </w:pPr>
      <w:r w:rsidRPr="005B18B8">
        <w:rPr>
          <w:b/>
          <w:color w:val="000000"/>
          <w:sz w:val="24"/>
          <w:szCs w:val="24"/>
        </w:rPr>
        <w:t>Śo</w:t>
      </w:r>
      <w:r w:rsidRPr="005B18B8">
        <w:rPr>
          <w:color w:val="000000"/>
          <w:sz w:val="24"/>
          <w:szCs w:val="24"/>
        </w:rPr>
        <w:t xml:space="preserve"> –</w:t>
      </w:r>
      <w:r w:rsidRPr="005B18B8">
        <w:rPr>
          <w:color w:val="000000"/>
          <w:sz w:val="24"/>
          <w:szCs w:val="24"/>
        </w:rPr>
        <w:tab/>
        <w:t>suma punktów przyznanych przez wszystkich członków komisji przetargowej, dokonujących indywidualnej oceny, dla oferty badanej,</w:t>
      </w:r>
    </w:p>
    <w:p w14:paraId="048219F8" w14:textId="77777777" w:rsidR="005143B0" w:rsidRPr="005B18B8" w:rsidRDefault="005143B0" w:rsidP="005143B0">
      <w:pPr>
        <w:ind w:left="709" w:hanging="709"/>
        <w:jc w:val="both"/>
        <w:rPr>
          <w:color w:val="000000"/>
          <w:sz w:val="24"/>
          <w:szCs w:val="24"/>
        </w:rPr>
      </w:pPr>
      <w:r w:rsidRPr="005B18B8">
        <w:rPr>
          <w:b/>
          <w:color w:val="000000"/>
          <w:sz w:val="24"/>
          <w:szCs w:val="24"/>
        </w:rPr>
        <w:t>Śn</w:t>
      </w:r>
      <w:r w:rsidRPr="005B18B8">
        <w:rPr>
          <w:color w:val="000000"/>
          <w:sz w:val="24"/>
          <w:szCs w:val="24"/>
        </w:rPr>
        <w:t xml:space="preserve"> –</w:t>
      </w:r>
      <w:r w:rsidRPr="005B18B8">
        <w:rPr>
          <w:color w:val="000000"/>
          <w:sz w:val="24"/>
          <w:szCs w:val="24"/>
        </w:rPr>
        <w:tab/>
        <w:t>najwyższa suma punktów przyznanych przez wszystkich członków komisji przetargowej, dokonujących indywidualnej oceny, spośród wszystkich złożonych ofert, które nie zostały odrzucone.</w:t>
      </w:r>
    </w:p>
    <w:p w14:paraId="0E2AF2B9" w14:textId="77777777" w:rsidR="005143B0" w:rsidRPr="005B18B8" w:rsidRDefault="005143B0" w:rsidP="005143B0">
      <w:pPr>
        <w:autoSpaceDE w:val="0"/>
        <w:autoSpaceDN w:val="0"/>
        <w:adjustRightInd w:val="0"/>
        <w:jc w:val="both"/>
        <w:rPr>
          <w:color w:val="000000"/>
          <w:sz w:val="24"/>
          <w:szCs w:val="24"/>
        </w:rPr>
      </w:pPr>
      <w:r w:rsidRPr="005B18B8">
        <w:rPr>
          <w:color w:val="000000"/>
          <w:sz w:val="24"/>
          <w:szCs w:val="24"/>
        </w:rPr>
        <w:t>Przyznane punkty zostaną zaokrąglone do dwóch miejsc po przecinku.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2693"/>
        <w:gridCol w:w="1417"/>
      </w:tblGrid>
      <w:tr w:rsidR="00674EC8" w:rsidRPr="00344D78" w14:paraId="61460D73" w14:textId="77777777" w:rsidTr="0071105B">
        <w:tc>
          <w:tcPr>
            <w:tcW w:w="709" w:type="dxa"/>
            <w:shd w:val="clear" w:color="auto" w:fill="auto"/>
          </w:tcPr>
          <w:p w14:paraId="65DB55C8" w14:textId="77777777" w:rsidR="00674EC8" w:rsidRPr="00344D78" w:rsidRDefault="00674EC8" w:rsidP="00032A9A">
            <w:pPr>
              <w:spacing w:before="120" w:after="120"/>
              <w:jc w:val="both"/>
              <w:rPr>
                <w:b/>
                <w:sz w:val="22"/>
                <w:szCs w:val="22"/>
              </w:rPr>
            </w:pPr>
            <w:r w:rsidRPr="00344D78">
              <w:rPr>
                <w:b/>
                <w:sz w:val="22"/>
                <w:szCs w:val="22"/>
              </w:rPr>
              <w:t>Lp.</w:t>
            </w:r>
          </w:p>
        </w:tc>
        <w:tc>
          <w:tcPr>
            <w:tcW w:w="4253" w:type="dxa"/>
            <w:shd w:val="clear" w:color="auto" w:fill="auto"/>
          </w:tcPr>
          <w:p w14:paraId="2A76C854" w14:textId="76770073" w:rsidR="00674EC8" w:rsidRPr="00344D78" w:rsidRDefault="00674EC8" w:rsidP="00032A9A">
            <w:pPr>
              <w:spacing w:before="120" w:after="120"/>
              <w:jc w:val="center"/>
              <w:rPr>
                <w:b/>
                <w:sz w:val="22"/>
                <w:szCs w:val="22"/>
              </w:rPr>
            </w:pPr>
          </w:p>
        </w:tc>
        <w:tc>
          <w:tcPr>
            <w:tcW w:w="2693" w:type="dxa"/>
            <w:shd w:val="clear" w:color="auto" w:fill="auto"/>
          </w:tcPr>
          <w:p w14:paraId="29EFFCDC" w14:textId="7C6CD6BD" w:rsidR="00674EC8" w:rsidRPr="00344D78" w:rsidRDefault="0071105B" w:rsidP="00032A9A">
            <w:pPr>
              <w:spacing w:before="120" w:after="120"/>
              <w:jc w:val="center"/>
              <w:rPr>
                <w:b/>
                <w:sz w:val="22"/>
                <w:szCs w:val="22"/>
              </w:rPr>
            </w:pPr>
            <w:r>
              <w:rPr>
                <w:b/>
                <w:sz w:val="22"/>
                <w:szCs w:val="22"/>
              </w:rPr>
              <w:t>przedział</w:t>
            </w:r>
          </w:p>
        </w:tc>
        <w:tc>
          <w:tcPr>
            <w:tcW w:w="1417" w:type="dxa"/>
            <w:shd w:val="clear" w:color="auto" w:fill="auto"/>
          </w:tcPr>
          <w:p w14:paraId="76C43C31" w14:textId="77777777" w:rsidR="00674EC8" w:rsidRPr="00344D78" w:rsidRDefault="00674EC8" w:rsidP="00032A9A">
            <w:pPr>
              <w:spacing w:before="120" w:after="120"/>
              <w:jc w:val="center"/>
              <w:rPr>
                <w:b/>
                <w:sz w:val="22"/>
                <w:szCs w:val="22"/>
              </w:rPr>
            </w:pPr>
            <w:r w:rsidRPr="00344D78">
              <w:rPr>
                <w:b/>
                <w:sz w:val="22"/>
                <w:szCs w:val="22"/>
              </w:rPr>
              <w:t>Punkty</w:t>
            </w:r>
          </w:p>
        </w:tc>
      </w:tr>
      <w:tr w:rsidR="00674EC8" w:rsidRPr="00344D78" w14:paraId="146F09D5" w14:textId="77777777" w:rsidTr="0071105B">
        <w:tc>
          <w:tcPr>
            <w:tcW w:w="709" w:type="dxa"/>
            <w:shd w:val="clear" w:color="auto" w:fill="auto"/>
          </w:tcPr>
          <w:p w14:paraId="577ED31C" w14:textId="77777777" w:rsidR="00674EC8" w:rsidRPr="00344D78" w:rsidRDefault="00674EC8" w:rsidP="00CE7808">
            <w:pPr>
              <w:numPr>
                <w:ilvl w:val="0"/>
                <w:numId w:val="51"/>
              </w:numPr>
              <w:ind w:left="417"/>
              <w:contextualSpacing/>
              <w:jc w:val="center"/>
              <w:rPr>
                <w:b/>
                <w:sz w:val="22"/>
                <w:szCs w:val="22"/>
              </w:rPr>
            </w:pPr>
          </w:p>
        </w:tc>
        <w:tc>
          <w:tcPr>
            <w:tcW w:w="4253" w:type="dxa"/>
            <w:shd w:val="clear" w:color="auto" w:fill="auto"/>
          </w:tcPr>
          <w:p w14:paraId="3775CD50" w14:textId="20FFF14C" w:rsidR="00674EC8" w:rsidRPr="003426A3" w:rsidRDefault="0071105B" w:rsidP="003426A3">
            <w:pPr>
              <w:rPr>
                <w:sz w:val="22"/>
                <w:szCs w:val="22"/>
              </w:rPr>
            </w:pPr>
            <w:r w:rsidRPr="005B18B8">
              <w:rPr>
                <w:color w:val="000000"/>
                <w:sz w:val="24"/>
                <w:szCs w:val="24"/>
              </w:rPr>
              <w:t>średnia arytmetyczna marży procentowej</w:t>
            </w:r>
          </w:p>
        </w:tc>
        <w:tc>
          <w:tcPr>
            <w:tcW w:w="2693" w:type="dxa"/>
            <w:shd w:val="clear" w:color="auto" w:fill="auto"/>
          </w:tcPr>
          <w:p w14:paraId="3D523E5E" w14:textId="3606B557" w:rsidR="00674EC8" w:rsidRPr="0071105B" w:rsidRDefault="0071105B" w:rsidP="0071105B">
            <w:pPr>
              <w:rPr>
                <w:bCs/>
                <w:sz w:val="22"/>
                <w:szCs w:val="22"/>
              </w:rPr>
            </w:pPr>
            <w:r w:rsidRPr="0071105B">
              <w:rPr>
                <w:color w:val="000000"/>
                <w:sz w:val="22"/>
                <w:szCs w:val="22"/>
              </w:rPr>
              <w:t>od 1% do 2,20%</w:t>
            </w:r>
          </w:p>
        </w:tc>
        <w:tc>
          <w:tcPr>
            <w:tcW w:w="1417" w:type="dxa"/>
            <w:shd w:val="clear" w:color="auto" w:fill="auto"/>
          </w:tcPr>
          <w:p w14:paraId="172F80DB" w14:textId="7132BE3E" w:rsidR="00674EC8" w:rsidRPr="00344D78" w:rsidRDefault="00674EC8" w:rsidP="00032A9A">
            <w:pPr>
              <w:jc w:val="center"/>
              <w:rPr>
                <w:b/>
                <w:sz w:val="22"/>
                <w:szCs w:val="22"/>
              </w:rPr>
            </w:pPr>
            <w:r w:rsidRPr="00344D78">
              <w:rPr>
                <w:b/>
                <w:sz w:val="22"/>
                <w:szCs w:val="22"/>
              </w:rPr>
              <w:t xml:space="preserve">0 </w:t>
            </w:r>
          </w:p>
        </w:tc>
      </w:tr>
      <w:tr w:rsidR="00674EC8" w:rsidRPr="00344D78" w14:paraId="21F76CA6" w14:textId="77777777" w:rsidTr="0071105B">
        <w:tc>
          <w:tcPr>
            <w:tcW w:w="709" w:type="dxa"/>
            <w:shd w:val="clear" w:color="auto" w:fill="auto"/>
          </w:tcPr>
          <w:p w14:paraId="02D8F3AB" w14:textId="77777777" w:rsidR="00674EC8" w:rsidRPr="00344D78" w:rsidRDefault="00674EC8" w:rsidP="00CE7808">
            <w:pPr>
              <w:numPr>
                <w:ilvl w:val="0"/>
                <w:numId w:val="51"/>
              </w:numPr>
              <w:ind w:left="417"/>
              <w:contextualSpacing/>
              <w:jc w:val="center"/>
              <w:rPr>
                <w:b/>
                <w:sz w:val="22"/>
                <w:szCs w:val="22"/>
              </w:rPr>
            </w:pPr>
          </w:p>
        </w:tc>
        <w:tc>
          <w:tcPr>
            <w:tcW w:w="4253" w:type="dxa"/>
            <w:shd w:val="clear" w:color="auto" w:fill="auto"/>
          </w:tcPr>
          <w:p w14:paraId="58089EF1" w14:textId="6A8B8964" w:rsidR="00674EC8" w:rsidRPr="00344D78" w:rsidRDefault="0071105B" w:rsidP="003426A3">
            <w:pPr>
              <w:rPr>
                <w:sz w:val="22"/>
                <w:szCs w:val="22"/>
              </w:rPr>
            </w:pPr>
            <w:r w:rsidRPr="005B18B8">
              <w:rPr>
                <w:color w:val="000000"/>
                <w:sz w:val="24"/>
                <w:szCs w:val="24"/>
              </w:rPr>
              <w:t>średnia arytmetyczna marży procentowej</w:t>
            </w:r>
          </w:p>
        </w:tc>
        <w:tc>
          <w:tcPr>
            <w:tcW w:w="2693" w:type="dxa"/>
            <w:shd w:val="clear" w:color="auto" w:fill="auto"/>
          </w:tcPr>
          <w:p w14:paraId="5DC669C1" w14:textId="36E288D3" w:rsidR="00674EC8" w:rsidRPr="0071105B" w:rsidRDefault="0071105B" w:rsidP="0071105B">
            <w:pPr>
              <w:rPr>
                <w:bCs/>
                <w:sz w:val="22"/>
                <w:szCs w:val="22"/>
              </w:rPr>
            </w:pPr>
            <w:r w:rsidRPr="0071105B">
              <w:rPr>
                <w:color w:val="000000"/>
                <w:sz w:val="22"/>
                <w:szCs w:val="22"/>
              </w:rPr>
              <w:t>od 2,21% do 3,20%</w:t>
            </w:r>
          </w:p>
        </w:tc>
        <w:tc>
          <w:tcPr>
            <w:tcW w:w="1417" w:type="dxa"/>
            <w:shd w:val="clear" w:color="auto" w:fill="auto"/>
          </w:tcPr>
          <w:p w14:paraId="1FD3F8AB" w14:textId="5EE3DB68" w:rsidR="00674EC8" w:rsidRPr="00344D78" w:rsidRDefault="0071105B" w:rsidP="00032A9A">
            <w:pPr>
              <w:jc w:val="center"/>
              <w:rPr>
                <w:b/>
                <w:sz w:val="22"/>
                <w:szCs w:val="22"/>
              </w:rPr>
            </w:pPr>
            <w:r>
              <w:rPr>
                <w:b/>
                <w:sz w:val="22"/>
                <w:szCs w:val="22"/>
              </w:rPr>
              <w:t>5</w:t>
            </w:r>
          </w:p>
        </w:tc>
      </w:tr>
      <w:tr w:rsidR="00674EC8" w:rsidRPr="00344D78" w14:paraId="730A5614" w14:textId="77777777" w:rsidTr="0071105B">
        <w:tc>
          <w:tcPr>
            <w:tcW w:w="709" w:type="dxa"/>
            <w:shd w:val="clear" w:color="auto" w:fill="auto"/>
          </w:tcPr>
          <w:p w14:paraId="2C0FDC72" w14:textId="77777777" w:rsidR="00674EC8" w:rsidRPr="00344D78" w:rsidRDefault="00674EC8" w:rsidP="00CE7808">
            <w:pPr>
              <w:numPr>
                <w:ilvl w:val="0"/>
                <w:numId w:val="51"/>
              </w:numPr>
              <w:ind w:left="417"/>
              <w:contextualSpacing/>
              <w:jc w:val="center"/>
              <w:rPr>
                <w:b/>
                <w:sz w:val="22"/>
                <w:szCs w:val="22"/>
              </w:rPr>
            </w:pPr>
          </w:p>
        </w:tc>
        <w:tc>
          <w:tcPr>
            <w:tcW w:w="4253" w:type="dxa"/>
            <w:shd w:val="clear" w:color="auto" w:fill="auto"/>
          </w:tcPr>
          <w:p w14:paraId="7788C778" w14:textId="60D63999" w:rsidR="00674EC8" w:rsidRPr="00344D78" w:rsidRDefault="0071105B" w:rsidP="003426A3">
            <w:pPr>
              <w:rPr>
                <w:sz w:val="22"/>
                <w:szCs w:val="22"/>
              </w:rPr>
            </w:pPr>
            <w:r w:rsidRPr="005B18B8">
              <w:rPr>
                <w:color w:val="000000"/>
                <w:sz w:val="24"/>
                <w:szCs w:val="24"/>
              </w:rPr>
              <w:t>średnia arytmetyczna marży procentowej</w:t>
            </w:r>
          </w:p>
        </w:tc>
        <w:tc>
          <w:tcPr>
            <w:tcW w:w="2693" w:type="dxa"/>
            <w:shd w:val="clear" w:color="auto" w:fill="auto"/>
          </w:tcPr>
          <w:p w14:paraId="5559406D" w14:textId="40D88F90" w:rsidR="00674EC8" w:rsidRPr="0071105B" w:rsidRDefault="0071105B" w:rsidP="0071105B">
            <w:pPr>
              <w:rPr>
                <w:bCs/>
                <w:sz w:val="22"/>
                <w:szCs w:val="22"/>
              </w:rPr>
            </w:pPr>
            <w:r w:rsidRPr="0071105B">
              <w:rPr>
                <w:color w:val="000000"/>
                <w:sz w:val="22"/>
                <w:szCs w:val="22"/>
              </w:rPr>
              <w:t>od 3,21% do 4,20%</w:t>
            </w:r>
          </w:p>
        </w:tc>
        <w:tc>
          <w:tcPr>
            <w:tcW w:w="1417" w:type="dxa"/>
            <w:shd w:val="clear" w:color="auto" w:fill="auto"/>
          </w:tcPr>
          <w:p w14:paraId="5C097CEC" w14:textId="5BFC4E07" w:rsidR="00674EC8" w:rsidRPr="00344D78" w:rsidRDefault="0071105B" w:rsidP="00032A9A">
            <w:pPr>
              <w:jc w:val="center"/>
              <w:rPr>
                <w:b/>
                <w:sz w:val="22"/>
                <w:szCs w:val="22"/>
              </w:rPr>
            </w:pPr>
            <w:r>
              <w:rPr>
                <w:b/>
                <w:sz w:val="22"/>
                <w:szCs w:val="22"/>
              </w:rPr>
              <w:t>1</w:t>
            </w:r>
            <w:r w:rsidR="00BF0655" w:rsidRPr="00344D78">
              <w:rPr>
                <w:b/>
                <w:sz w:val="22"/>
                <w:szCs w:val="22"/>
              </w:rPr>
              <w:t xml:space="preserve">0 </w:t>
            </w:r>
          </w:p>
        </w:tc>
      </w:tr>
      <w:tr w:rsidR="0071105B" w:rsidRPr="00344D78" w14:paraId="08DF36C9" w14:textId="77777777" w:rsidTr="0071105B">
        <w:tc>
          <w:tcPr>
            <w:tcW w:w="709" w:type="dxa"/>
            <w:shd w:val="clear" w:color="auto" w:fill="auto"/>
          </w:tcPr>
          <w:p w14:paraId="0FF24B93" w14:textId="77777777" w:rsidR="0071105B" w:rsidRPr="00344D78" w:rsidRDefault="0071105B" w:rsidP="00CE7808">
            <w:pPr>
              <w:numPr>
                <w:ilvl w:val="0"/>
                <w:numId w:val="51"/>
              </w:numPr>
              <w:ind w:left="417"/>
              <w:contextualSpacing/>
              <w:jc w:val="center"/>
              <w:rPr>
                <w:b/>
                <w:sz w:val="22"/>
                <w:szCs w:val="22"/>
              </w:rPr>
            </w:pPr>
          </w:p>
        </w:tc>
        <w:tc>
          <w:tcPr>
            <w:tcW w:w="4253" w:type="dxa"/>
            <w:shd w:val="clear" w:color="auto" w:fill="auto"/>
          </w:tcPr>
          <w:p w14:paraId="5D49EEB6" w14:textId="4E930992" w:rsidR="0071105B" w:rsidRPr="005B18B8" w:rsidRDefault="0071105B" w:rsidP="003426A3">
            <w:pPr>
              <w:rPr>
                <w:color w:val="000000"/>
                <w:sz w:val="24"/>
                <w:szCs w:val="24"/>
              </w:rPr>
            </w:pPr>
            <w:r w:rsidRPr="005B18B8">
              <w:rPr>
                <w:color w:val="000000"/>
                <w:sz w:val="24"/>
                <w:szCs w:val="24"/>
              </w:rPr>
              <w:t>średnia arytmetyczna marży procentowej</w:t>
            </w:r>
          </w:p>
        </w:tc>
        <w:tc>
          <w:tcPr>
            <w:tcW w:w="2693" w:type="dxa"/>
            <w:shd w:val="clear" w:color="auto" w:fill="auto"/>
          </w:tcPr>
          <w:p w14:paraId="7857B1AD" w14:textId="42F19B82" w:rsidR="0071105B" w:rsidRPr="0071105B" w:rsidRDefault="0071105B" w:rsidP="0071105B">
            <w:pPr>
              <w:rPr>
                <w:bCs/>
                <w:sz w:val="22"/>
                <w:szCs w:val="22"/>
              </w:rPr>
            </w:pPr>
            <w:r w:rsidRPr="0071105B">
              <w:rPr>
                <w:color w:val="000000"/>
                <w:sz w:val="22"/>
                <w:szCs w:val="22"/>
              </w:rPr>
              <w:t>od 4,21% do 5, 20%</w:t>
            </w:r>
          </w:p>
        </w:tc>
        <w:tc>
          <w:tcPr>
            <w:tcW w:w="1417" w:type="dxa"/>
            <w:shd w:val="clear" w:color="auto" w:fill="auto"/>
          </w:tcPr>
          <w:p w14:paraId="574839D3" w14:textId="7F60B3DB" w:rsidR="0071105B" w:rsidRPr="00344D78" w:rsidRDefault="0071105B" w:rsidP="00032A9A">
            <w:pPr>
              <w:jc w:val="center"/>
              <w:rPr>
                <w:b/>
                <w:sz w:val="22"/>
                <w:szCs w:val="22"/>
              </w:rPr>
            </w:pPr>
            <w:r>
              <w:rPr>
                <w:b/>
                <w:sz w:val="22"/>
                <w:szCs w:val="22"/>
              </w:rPr>
              <w:t>20</w:t>
            </w:r>
          </w:p>
        </w:tc>
      </w:tr>
      <w:tr w:rsidR="0071105B" w:rsidRPr="00344D78" w14:paraId="62D46CF1" w14:textId="77777777" w:rsidTr="0071105B">
        <w:tc>
          <w:tcPr>
            <w:tcW w:w="709" w:type="dxa"/>
            <w:shd w:val="clear" w:color="auto" w:fill="auto"/>
          </w:tcPr>
          <w:p w14:paraId="76457C68" w14:textId="77777777" w:rsidR="0071105B" w:rsidRPr="00344D78" w:rsidRDefault="0071105B" w:rsidP="00CE7808">
            <w:pPr>
              <w:numPr>
                <w:ilvl w:val="0"/>
                <w:numId w:val="51"/>
              </w:numPr>
              <w:ind w:left="417"/>
              <w:contextualSpacing/>
              <w:jc w:val="center"/>
              <w:rPr>
                <w:b/>
                <w:sz w:val="22"/>
                <w:szCs w:val="22"/>
              </w:rPr>
            </w:pPr>
          </w:p>
        </w:tc>
        <w:tc>
          <w:tcPr>
            <w:tcW w:w="4253" w:type="dxa"/>
            <w:shd w:val="clear" w:color="auto" w:fill="auto"/>
          </w:tcPr>
          <w:p w14:paraId="62C2953E" w14:textId="64897E07" w:rsidR="0071105B" w:rsidRPr="005B18B8" w:rsidRDefault="0071105B" w:rsidP="003426A3">
            <w:pPr>
              <w:rPr>
                <w:color w:val="000000"/>
                <w:sz w:val="24"/>
                <w:szCs w:val="24"/>
              </w:rPr>
            </w:pPr>
            <w:r w:rsidRPr="005B18B8">
              <w:rPr>
                <w:color w:val="000000"/>
                <w:sz w:val="24"/>
                <w:szCs w:val="24"/>
              </w:rPr>
              <w:t>średnia arytmetyczna marży procentowej</w:t>
            </w:r>
          </w:p>
        </w:tc>
        <w:tc>
          <w:tcPr>
            <w:tcW w:w="2693" w:type="dxa"/>
            <w:shd w:val="clear" w:color="auto" w:fill="auto"/>
          </w:tcPr>
          <w:p w14:paraId="5DE46847" w14:textId="1194BC82" w:rsidR="0071105B" w:rsidRPr="0071105B" w:rsidRDefault="0071105B" w:rsidP="0071105B">
            <w:pPr>
              <w:tabs>
                <w:tab w:val="left" w:pos="34"/>
              </w:tabs>
              <w:jc w:val="both"/>
              <w:rPr>
                <w:bCs/>
                <w:sz w:val="22"/>
                <w:szCs w:val="22"/>
              </w:rPr>
            </w:pPr>
            <w:r w:rsidRPr="0071105B">
              <w:rPr>
                <w:bCs/>
                <w:sz w:val="22"/>
                <w:szCs w:val="22"/>
              </w:rPr>
              <w:tab/>
            </w:r>
            <w:r w:rsidRPr="0071105B">
              <w:rPr>
                <w:color w:val="000000"/>
                <w:sz w:val="22"/>
                <w:szCs w:val="22"/>
              </w:rPr>
              <w:t>od 5,21% do 6,20%</w:t>
            </w:r>
          </w:p>
        </w:tc>
        <w:tc>
          <w:tcPr>
            <w:tcW w:w="1417" w:type="dxa"/>
            <w:shd w:val="clear" w:color="auto" w:fill="auto"/>
          </w:tcPr>
          <w:p w14:paraId="1E815632" w14:textId="1B28F77A" w:rsidR="0071105B" w:rsidRPr="00344D78" w:rsidRDefault="0071105B" w:rsidP="00032A9A">
            <w:pPr>
              <w:jc w:val="center"/>
              <w:rPr>
                <w:b/>
                <w:sz w:val="22"/>
                <w:szCs w:val="22"/>
              </w:rPr>
            </w:pPr>
            <w:r>
              <w:rPr>
                <w:b/>
                <w:sz w:val="22"/>
                <w:szCs w:val="22"/>
              </w:rPr>
              <w:t>30</w:t>
            </w:r>
          </w:p>
        </w:tc>
      </w:tr>
      <w:tr w:rsidR="0071105B" w:rsidRPr="00344D78" w14:paraId="351A5747" w14:textId="77777777" w:rsidTr="0071105B">
        <w:trPr>
          <w:trHeight w:val="70"/>
        </w:trPr>
        <w:tc>
          <w:tcPr>
            <w:tcW w:w="709" w:type="dxa"/>
            <w:shd w:val="clear" w:color="auto" w:fill="auto"/>
          </w:tcPr>
          <w:p w14:paraId="0A643CE9" w14:textId="77777777" w:rsidR="0071105B" w:rsidRPr="00344D78" w:rsidRDefault="0071105B" w:rsidP="00CE7808">
            <w:pPr>
              <w:numPr>
                <w:ilvl w:val="0"/>
                <w:numId w:val="51"/>
              </w:numPr>
              <w:ind w:left="417"/>
              <w:contextualSpacing/>
              <w:jc w:val="center"/>
              <w:rPr>
                <w:b/>
                <w:sz w:val="22"/>
                <w:szCs w:val="22"/>
              </w:rPr>
            </w:pPr>
          </w:p>
        </w:tc>
        <w:tc>
          <w:tcPr>
            <w:tcW w:w="4253" w:type="dxa"/>
            <w:shd w:val="clear" w:color="auto" w:fill="auto"/>
          </w:tcPr>
          <w:p w14:paraId="42816493" w14:textId="022814B9" w:rsidR="0071105B" w:rsidRPr="005B18B8" w:rsidRDefault="0071105B" w:rsidP="003426A3">
            <w:pPr>
              <w:rPr>
                <w:color w:val="000000"/>
                <w:sz w:val="24"/>
                <w:szCs w:val="24"/>
              </w:rPr>
            </w:pPr>
            <w:r w:rsidRPr="005B18B8">
              <w:rPr>
                <w:color w:val="000000"/>
                <w:sz w:val="24"/>
                <w:szCs w:val="24"/>
              </w:rPr>
              <w:t>średnia arytmetyczna marży procentowej</w:t>
            </w:r>
          </w:p>
        </w:tc>
        <w:tc>
          <w:tcPr>
            <w:tcW w:w="2693" w:type="dxa"/>
            <w:shd w:val="clear" w:color="auto" w:fill="auto"/>
          </w:tcPr>
          <w:p w14:paraId="78FC4280" w14:textId="57C5B96B" w:rsidR="0071105B" w:rsidRPr="0071105B" w:rsidRDefault="0071105B" w:rsidP="0071105B">
            <w:pPr>
              <w:rPr>
                <w:bCs/>
                <w:sz w:val="22"/>
                <w:szCs w:val="22"/>
              </w:rPr>
            </w:pPr>
            <w:r w:rsidRPr="0071105B">
              <w:rPr>
                <w:color w:val="000000"/>
                <w:sz w:val="22"/>
                <w:szCs w:val="22"/>
              </w:rPr>
              <w:t>od 6,21% i więcej</w:t>
            </w:r>
          </w:p>
        </w:tc>
        <w:tc>
          <w:tcPr>
            <w:tcW w:w="1417" w:type="dxa"/>
            <w:shd w:val="clear" w:color="auto" w:fill="auto"/>
          </w:tcPr>
          <w:p w14:paraId="0090264F" w14:textId="13581FCD" w:rsidR="0071105B" w:rsidRPr="00344D78" w:rsidRDefault="0071105B" w:rsidP="00032A9A">
            <w:pPr>
              <w:jc w:val="center"/>
              <w:rPr>
                <w:b/>
                <w:sz w:val="22"/>
                <w:szCs w:val="22"/>
              </w:rPr>
            </w:pPr>
            <w:r>
              <w:rPr>
                <w:b/>
                <w:sz w:val="22"/>
                <w:szCs w:val="22"/>
              </w:rPr>
              <w:t>40</w:t>
            </w:r>
          </w:p>
        </w:tc>
      </w:tr>
    </w:tbl>
    <w:p w14:paraId="7D54D931" w14:textId="41F38DA1" w:rsidR="00674EC8" w:rsidRPr="00ED6DEE" w:rsidRDefault="00ED6DEE" w:rsidP="00CE7808">
      <w:pPr>
        <w:pStyle w:val="Akapitzlist"/>
        <w:numPr>
          <w:ilvl w:val="0"/>
          <w:numId w:val="50"/>
        </w:numPr>
        <w:autoSpaceDE w:val="0"/>
        <w:autoSpaceDN w:val="0"/>
        <w:adjustRightInd w:val="0"/>
        <w:ind w:left="284" w:hanging="284"/>
        <w:jc w:val="both"/>
        <w:rPr>
          <w:rFonts w:eastAsia="Calibri"/>
          <w:sz w:val="22"/>
          <w:szCs w:val="22"/>
        </w:rPr>
      </w:pPr>
      <w:r w:rsidRPr="00ED6DEE">
        <w:rPr>
          <w:rFonts w:eastAsia="Calibri"/>
          <w:sz w:val="22"/>
          <w:szCs w:val="22"/>
        </w:rPr>
        <w:t>O</w:t>
      </w:r>
      <w:r w:rsidR="00674EC8" w:rsidRPr="00ED6DEE">
        <w:rPr>
          <w:rFonts w:eastAsia="Calibri"/>
          <w:sz w:val="22"/>
          <w:szCs w:val="22"/>
        </w:rPr>
        <w:t xml:space="preserve">cena końcowa wyliczona zostanie po zsumowaniu punktów uzyskanych za ocenę w ww. kryteriach. Całkowita liczba punktów, jaką otrzyma dana oferta, zostanie obliczona wg poniższego wzoru: </w:t>
      </w:r>
    </w:p>
    <w:p w14:paraId="771D34CE" w14:textId="77777777" w:rsidR="00DC413C" w:rsidRPr="00DC413C" w:rsidRDefault="00DC413C" w:rsidP="00CE7808">
      <w:pPr>
        <w:pStyle w:val="Akapitzlist"/>
        <w:numPr>
          <w:ilvl w:val="0"/>
          <w:numId w:val="50"/>
        </w:numPr>
        <w:ind w:left="284" w:hanging="284"/>
        <w:jc w:val="both"/>
        <w:rPr>
          <w:b/>
          <w:color w:val="000000" w:themeColor="text1"/>
          <w:sz w:val="22"/>
          <w:szCs w:val="22"/>
        </w:rPr>
      </w:pPr>
      <w:r w:rsidRPr="00DC413C">
        <w:rPr>
          <w:b/>
          <w:color w:val="000000" w:themeColor="text1"/>
          <w:sz w:val="22"/>
          <w:szCs w:val="22"/>
        </w:rPr>
        <w:t xml:space="preserve">Ocena oferty (O) stanowi sumę ww. kryteriów: </w:t>
      </w:r>
    </w:p>
    <w:p w14:paraId="367FAD03" w14:textId="7EAF3192" w:rsidR="00DC413C" w:rsidRPr="00DC413C" w:rsidRDefault="00DC413C" w:rsidP="00DC413C">
      <w:pPr>
        <w:ind w:left="360"/>
        <w:jc w:val="both"/>
        <w:rPr>
          <w:bCs/>
          <w:color w:val="000000" w:themeColor="text1"/>
          <w:sz w:val="22"/>
          <w:szCs w:val="22"/>
        </w:rPr>
      </w:pPr>
      <w:r w:rsidRPr="00DC413C">
        <w:rPr>
          <w:b/>
          <w:color w:val="000000" w:themeColor="text1"/>
          <w:sz w:val="22"/>
          <w:szCs w:val="22"/>
        </w:rPr>
        <w:t xml:space="preserve">O = C + </w:t>
      </w:r>
      <w:r w:rsidR="001255B1">
        <w:rPr>
          <w:b/>
          <w:color w:val="000000" w:themeColor="text1"/>
          <w:sz w:val="22"/>
          <w:szCs w:val="22"/>
        </w:rPr>
        <w:t>Ś</w:t>
      </w:r>
      <w:r w:rsidRPr="00DC413C">
        <w:rPr>
          <w:b/>
          <w:color w:val="000000" w:themeColor="text1"/>
          <w:sz w:val="22"/>
          <w:szCs w:val="22"/>
        </w:rPr>
        <w:t xml:space="preserve"> </w:t>
      </w:r>
      <w:r w:rsidRPr="00DC413C">
        <w:rPr>
          <w:bCs/>
          <w:color w:val="000000" w:themeColor="text1"/>
          <w:sz w:val="22"/>
          <w:szCs w:val="22"/>
        </w:rPr>
        <w:t>gdzie:</w:t>
      </w:r>
    </w:p>
    <w:p w14:paraId="5B1D0E66" w14:textId="77777777" w:rsidR="00DC413C" w:rsidRPr="00DC413C" w:rsidRDefault="00DC413C" w:rsidP="00DC413C">
      <w:pPr>
        <w:ind w:left="360"/>
        <w:jc w:val="both"/>
        <w:rPr>
          <w:rFonts w:eastAsiaTheme="minorEastAsia"/>
          <w:color w:val="000000" w:themeColor="text1"/>
          <w:sz w:val="22"/>
          <w:szCs w:val="22"/>
        </w:rPr>
      </w:pPr>
      <w:r w:rsidRPr="00DC413C">
        <w:rPr>
          <w:rFonts w:eastAsiaTheme="minorEastAsia"/>
          <w:b/>
          <w:bCs/>
          <w:color w:val="000000" w:themeColor="text1"/>
          <w:sz w:val="22"/>
          <w:szCs w:val="22"/>
        </w:rPr>
        <w:t>O</w:t>
      </w:r>
      <w:r w:rsidRPr="00DC413C">
        <w:rPr>
          <w:rFonts w:eastAsiaTheme="minorEastAsia"/>
          <w:color w:val="000000" w:themeColor="text1"/>
          <w:sz w:val="22"/>
          <w:szCs w:val="22"/>
        </w:rPr>
        <w:t xml:space="preserve"> – łączna ilość punktów oferty ocenianej;</w:t>
      </w:r>
    </w:p>
    <w:p w14:paraId="04BE55BF" w14:textId="7A528DBD" w:rsidR="00DC413C" w:rsidRDefault="00DC413C" w:rsidP="00DC413C">
      <w:pPr>
        <w:ind w:left="360"/>
        <w:jc w:val="both"/>
        <w:rPr>
          <w:rFonts w:eastAsiaTheme="minorEastAsia"/>
          <w:color w:val="000000" w:themeColor="text1"/>
          <w:sz w:val="22"/>
          <w:szCs w:val="22"/>
        </w:rPr>
      </w:pPr>
      <w:r>
        <w:rPr>
          <w:rFonts w:eastAsiaTheme="minorEastAsia"/>
          <w:b/>
          <w:bCs/>
          <w:color w:val="000000" w:themeColor="text1"/>
          <w:sz w:val="22"/>
          <w:szCs w:val="22"/>
        </w:rPr>
        <w:t>C</w:t>
      </w:r>
      <w:r w:rsidRPr="00DC413C">
        <w:rPr>
          <w:rFonts w:eastAsiaTheme="minorEastAsia"/>
          <w:color w:val="000000" w:themeColor="text1"/>
          <w:sz w:val="22"/>
          <w:szCs w:val="22"/>
        </w:rPr>
        <w:t xml:space="preserve"> – liczba punktów uzyskanych w kryterium „</w:t>
      </w:r>
      <w:r w:rsidRPr="00DC413C">
        <w:rPr>
          <w:rFonts w:eastAsiaTheme="minorEastAsia"/>
          <w:b/>
          <w:bCs/>
          <w:color w:val="000000" w:themeColor="text1"/>
          <w:sz w:val="22"/>
          <w:szCs w:val="22"/>
        </w:rPr>
        <w:t>Cena</w:t>
      </w:r>
      <w:r w:rsidRPr="00DC413C">
        <w:rPr>
          <w:rFonts w:eastAsiaTheme="minorEastAsia"/>
          <w:color w:val="000000" w:themeColor="text1"/>
          <w:sz w:val="22"/>
          <w:szCs w:val="22"/>
        </w:rPr>
        <w:t>”;</w:t>
      </w:r>
    </w:p>
    <w:p w14:paraId="587A6854" w14:textId="51D04FA2" w:rsidR="00DC413C" w:rsidRPr="007E175C" w:rsidRDefault="00DC413C" w:rsidP="00DC413C">
      <w:pPr>
        <w:ind w:left="284"/>
        <w:jc w:val="both"/>
        <w:rPr>
          <w:rFonts w:eastAsiaTheme="minorEastAsia"/>
          <w:color w:val="000000" w:themeColor="text1"/>
          <w:sz w:val="22"/>
          <w:szCs w:val="22"/>
        </w:rPr>
      </w:pPr>
      <w:r>
        <w:rPr>
          <w:rFonts w:eastAsiaTheme="minorEastAsia"/>
          <w:b/>
          <w:bCs/>
          <w:color w:val="000000" w:themeColor="text1"/>
          <w:sz w:val="22"/>
          <w:szCs w:val="22"/>
        </w:rPr>
        <w:t xml:space="preserve"> </w:t>
      </w:r>
      <w:r w:rsidR="001255B1">
        <w:rPr>
          <w:rFonts w:eastAsiaTheme="minorEastAsia"/>
          <w:b/>
          <w:bCs/>
          <w:color w:val="000000" w:themeColor="text1"/>
          <w:sz w:val="22"/>
          <w:szCs w:val="22"/>
        </w:rPr>
        <w:t>Ś</w:t>
      </w:r>
      <w:r w:rsidRPr="007E175C">
        <w:rPr>
          <w:rFonts w:eastAsiaTheme="minorEastAsia"/>
          <w:color w:val="000000" w:themeColor="text1"/>
          <w:sz w:val="22"/>
          <w:szCs w:val="22"/>
        </w:rPr>
        <w:t xml:space="preserve"> – liczba punktów uzyskanych w kryterium „</w:t>
      </w:r>
      <w:r w:rsidR="001255B1">
        <w:rPr>
          <w:rFonts w:eastAsiaTheme="minorEastAsia"/>
          <w:b/>
          <w:bCs/>
          <w:color w:val="000000" w:themeColor="text1"/>
          <w:sz w:val="22"/>
          <w:szCs w:val="22"/>
        </w:rPr>
        <w:t>Średnia arytmetyczna marży procentowej</w:t>
      </w:r>
      <w:r w:rsidRPr="007E175C">
        <w:rPr>
          <w:rFonts w:eastAsiaTheme="minorEastAsia"/>
          <w:color w:val="000000" w:themeColor="text1"/>
          <w:sz w:val="22"/>
          <w:szCs w:val="22"/>
        </w:rPr>
        <w:t>”;</w:t>
      </w:r>
    </w:p>
    <w:p w14:paraId="58806EE1" w14:textId="0BFDBD23" w:rsidR="00674EC8" w:rsidRPr="00ED6DEE" w:rsidRDefault="00ED6DEE" w:rsidP="00CE7808">
      <w:pPr>
        <w:pStyle w:val="Akapitzlist"/>
        <w:numPr>
          <w:ilvl w:val="0"/>
          <w:numId w:val="50"/>
        </w:numPr>
        <w:autoSpaceDE w:val="0"/>
        <w:autoSpaceDN w:val="0"/>
        <w:adjustRightInd w:val="0"/>
        <w:spacing w:after="113"/>
        <w:ind w:left="284" w:hanging="284"/>
        <w:jc w:val="both"/>
        <w:rPr>
          <w:rFonts w:eastAsia="Calibri"/>
          <w:sz w:val="22"/>
          <w:szCs w:val="22"/>
        </w:rPr>
      </w:pPr>
      <w:r w:rsidRPr="00ED6DEE">
        <w:rPr>
          <w:rFonts w:eastAsia="Calibri"/>
          <w:sz w:val="22"/>
          <w:szCs w:val="22"/>
        </w:rPr>
        <w:t>W</w:t>
      </w:r>
      <w:r w:rsidR="00674EC8" w:rsidRPr="00ED6DEE">
        <w:rPr>
          <w:rFonts w:eastAsia="Calibri"/>
          <w:sz w:val="22"/>
          <w:szCs w:val="22"/>
        </w:rPr>
        <w:t xml:space="preserve">yliczenie punktów zostanie dokonane z dokładnością do dwóch miejsc po przecinku, zgodnie z matematycznymi zasadami zaokrąglania. Maksymalna łączna suma punktów we wskazanych wyżej kryteriach – </w:t>
      </w:r>
      <w:r w:rsidR="00674EC8" w:rsidRPr="00ED6DEE">
        <w:rPr>
          <w:rFonts w:eastAsia="Calibri"/>
          <w:b/>
          <w:sz w:val="22"/>
          <w:szCs w:val="22"/>
        </w:rPr>
        <w:t>100,00</w:t>
      </w:r>
      <w:r w:rsidR="00674EC8" w:rsidRPr="00ED6DEE">
        <w:rPr>
          <w:rFonts w:eastAsia="Calibri"/>
          <w:sz w:val="22"/>
          <w:szCs w:val="22"/>
        </w:rPr>
        <w:t xml:space="preserve">. </w:t>
      </w:r>
    </w:p>
    <w:p w14:paraId="522A8627" w14:textId="0DC7EFFC" w:rsidR="00674EC8" w:rsidRPr="00ED6DEE" w:rsidRDefault="00ED6DEE" w:rsidP="00CE7808">
      <w:pPr>
        <w:numPr>
          <w:ilvl w:val="0"/>
          <w:numId w:val="50"/>
        </w:numPr>
        <w:autoSpaceDE w:val="0"/>
        <w:autoSpaceDN w:val="0"/>
        <w:adjustRightInd w:val="0"/>
        <w:ind w:left="284" w:hanging="284"/>
        <w:jc w:val="both"/>
        <w:rPr>
          <w:rFonts w:eastAsia="Calibri"/>
          <w:sz w:val="22"/>
          <w:szCs w:val="22"/>
        </w:rPr>
      </w:pPr>
      <w:r w:rsidRPr="00ED6DEE">
        <w:rPr>
          <w:rFonts w:eastAsia="Calibri"/>
          <w:sz w:val="22"/>
          <w:szCs w:val="22"/>
        </w:rPr>
        <w:t>Z</w:t>
      </w:r>
      <w:r w:rsidR="00674EC8" w:rsidRPr="00ED6DEE">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595D1954" w:rsidR="00674EC8" w:rsidRPr="00ED6DEE" w:rsidRDefault="001255B1" w:rsidP="00CE7808">
      <w:pPr>
        <w:numPr>
          <w:ilvl w:val="0"/>
          <w:numId w:val="50"/>
        </w:numPr>
        <w:autoSpaceDE w:val="0"/>
        <w:autoSpaceDN w:val="0"/>
        <w:adjustRightInd w:val="0"/>
        <w:ind w:left="284" w:hanging="284"/>
        <w:jc w:val="both"/>
        <w:rPr>
          <w:rFonts w:eastAsia="Calibri"/>
          <w:sz w:val="22"/>
          <w:szCs w:val="22"/>
        </w:rPr>
      </w:pPr>
      <w:r w:rsidRPr="00ED6DEE">
        <w:rPr>
          <w:rFonts w:eastAsia="Calibri"/>
          <w:sz w:val="22"/>
          <w:szCs w:val="22"/>
        </w:rPr>
        <w:t>J</w:t>
      </w:r>
      <w:r w:rsidR="00674EC8" w:rsidRPr="00ED6DEE">
        <w:rPr>
          <w:rFonts w:eastAsia="Calibri"/>
          <w:sz w:val="22"/>
          <w:szCs w:val="22"/>
        </w:rPr>
        <w:t xml:space="preserve">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5" w:name="bookmark231"/>
      <w:bookmarkStart w:id="206" w:name="bookmark232"/>
      <w:bookmarkStart w:id="207" w:name="bookmark233"/>
      <w:r w:rsidRPr="00B64271">
        <w:rPr>
          <w:rFonts w:eastAsia="Calibri"/>
          <w:b/>
          <w:bCs/>
          <w:sz w:val="22"/>
          <w:szCs w:val="22"/>
          <w:lang w:bidi="pl-PL"/>
        </w:rPr>
        <w:t>Rozdział XV.</w:t>
      </w:r>
      <w:bookmarkEnd w:id="205"/>
      <w:bookmarkEnd w:id="206"/>
      <w:bookmarkEnd w:id="207"/>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671F09CF" w:rsidR="003F5DCE" w:rsidRDefault="003F5DCE" w:rsidP="003F5DCE">
      <w:pPr>
        <w:widowControl w:val="0"/>
        <w:jc w:val="center"/>
        <w:rPr>
          <w:rFonts w:eastAsia="Tahoma"/>
          <w:sz w:val="22"/>
          <w:szCs w:val="22"/>
          <w:lang w:bidi="pl-PL"/>
        </w:rPr>
      </w:pPr>
    </w:p>
    <w:p w14:paraId="2CC847DB" w14:textId="77777777" w:rsidR="00402446" w:rsidRPr="00B64271" w:rsidRDefault="00402446"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8" w:name="bookmark234"/>
      <w:bookmarkStart w:id="209" w:name="bookmark235"/>
      <w:bookmarkStart w:id="210" w:name="bookmark236"/>
      <w:r w:rsidRPr="00B64271">
        <w:rPr>
          <w:rFonts w:eastAsia="Calibri"/>
          <w:b/>
          <w:bCs/>
          <w:sz w:val="22"/>
          <w:szCs w:val="22"/>
          <w:lang w:bidi="pl-PL"/>
        </w:rPr>
        <w:lastRenderedPageBreak/>
        <w:t>Rozdział XVI.</w:t>
      </w:r>
      <w:bookmarkEnd w:id="208"/>
      <w:bookmarkEnd w:id="209"/>
      <w:bookmarkEnd w:id="210"/>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CE7808">
      <w:pPr>
        <w:widowControl w:val="0"/>
        <w:numPr>
          <w:ilvl w:val="0"/>
          <w:numId w:val="44"/>
        </w:numPr>
        <w:tabs>
          <w:tab w:val="left" w:pos="284"/>
        </w:tabs>
        <w:ind w:left="284" w:hanging="284"/>
        <w:jc w:val="both"/>
        <w:rPr>
          <w:rFonts w:eastAsia="Tahoma"/>
          <w:sz w:val="22"/>
          <w:szCs w:val="22"/>
          <w:lang w:bidi="pl-PL"/>
        </w:rPr>
      </w:pPr>
      <w:bookmarkStart w:id="211" w:name="bookmark237"/>
      <w:bookmarkEnd w:id="211"/>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CE7808">
      <w:pPr>
        <w:widowControl w:val="0"/>
        <w:numPr>
          <w:ilvl w:val="0"/>
          <w:numId w:val="44"/>
        </w:numPr>
        <w:tabs>
          <w:tab w:val="left" w:pos="284"/>
        </w:tabs>
        <w:ind w:left="284" w:hanging="284"/>
        <w:jc w:val="both"/>
        <w:rPr>
          <w:rFonts w:eastAsia="Tahoma"/>
          <w:sz w:val="22"/>
          <w:szCs w:val="22"/>
          <w:lang w:bidi="pl-PL"/>
        </w:rPr>
      </w:pPr>
      <w:bookmarkStart w:id="212" w:name="bookmark238"/>
      <w:bookmarkEnd w:id="212"/>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50B0AB25" w:rsidR="00FF5C47" w:rsidRDefault="00B64271" w:rsidP="00CE7808">
      <w:pPr>
        <w:widowControl w:val="0"/>
        <w:numPr>
          <w:ilvl w:val="0"/>
          <w:numId w:val="44"/>
        </w:numPr>
        <w:tabs>
          <w:tab w:val="left" w:pos="284"/>
        </w:tabs>
        <w:ind w:left="284" w:hanging="284"/>
        <w:jc w:val="both"/>
        <w:rPr>
          <w:rFonts w:eastAsia="Tahoma"/>
          <w:sz w:val="22"/>
          <w:szCs w:val="22"/>
          <w:lang w:bidi="pl-PL"/>
        </w:rPr>
      </w:pPr>
      <w:bookmarkStart w:id="213" w:name="bookmark239"/>
      <w:bookmarkEnd w:id="213"/>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14" w:name="bookmark240"/>
      <w:bookmarkStart w:id="215" w:name="bookmark241"/>
      <w:bookmarkStart w:id="216" w:name="bookmark242"/>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4"/>
      <w:bookmarkEnd w:id="215"/>
      <w:bookmarkEnd w:id="216"/>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CE7808">
      <w:pPr>
        <w:pStyle w:val="Akapitzlist"/>
        <w:numPr>
          <w:ilvl w:val="0"/>
          <w:numId w:val="45"/>
        </w:numPr>
        <w:tabs>
          <w:tab w:val="num" w:pos="284"/>
        </w:tabs>
        <w:ind w:left="284" w:hanging="284"/>
        <w:jc w:val="both"/>
        <w:rPr>
          <w:sz w:val="22"/>
          <w:szCs w:val="22"/>
        </w:rPr>
      </w:pPr>
      <w:bookmarkStart w:id="217" w:name="bookmark243"/>
      <w:bookmarkEnd w:id="217"/>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8" w:name="bookmark244"/>
      <w:bookmarkEnd w:id="218"/>
    </w:p>
    <w:p w14:paraId="5F6D8036" w14:textId="77777777" w:rsidR="008430C1" w:rsidRPr="008430C1" w:rsidRDefault="00B64271" w:rsidP="00CE7808">
      <w:pPr>
        <w:pStyle w:val="Akapitzlist"/>
        <w:numPr>
          <w:ilvl w:val="0"/>
          <w:numId w:val="45"/>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CE7808">
      <w:pPr>
        <w:pStyle w:val="Akapitzlist"/>
        <w:numPr>
          <w:ilvl w:val="0"/>
          <w:numId w:val="45"/>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9" w:name="bookmark245"/>
      <w:bookmarkStart w:id="220" w:name="bookmark246"/>
      <w:bookmarkStart w:id="221" w:name="bookmark247"/>
      <w:bookmarkStart w:id="222" w:name="bookmark248"/>
      <w:bookmarkEnd w:id="219"/>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20"/>
      <w:bookmarkEnd w:id="221"/>
      <w:bookmarkEnd w:id="222"/>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3" w:name="bookmark249"/>
      <w:bookmarkEnd w:id="223"/>
      <w:r w:rsidRPr="00B64271">
        <w:rPr>
          <w:rFonts w:eastAsia="Tahoma"/>
          <w:sz w:val="22"/>
          <w:szCs w:val="22"/>
          <w:lang w:bidi="pl-PL"/>
        </w:rPr>
        <w:t>Wykonawcy, a także innemu podmiotowi, jeżeli ma lub miał interes w uzyskaniu zamówienia oraz poniósł lub może ponieść szkodę w wyniku naruszenia przez Zamawiającego przepisów ustawy Pzp, przysługują środki ochrony prawnej określone w dziale IX ustawy Pzp, tj. odwołanie i skarga do sądu. Postępowanie odwoławcze uregulowane zostało w przepisach art. 506-578 ustawy Pzp, a postępowanie skargowe w przepisach art. 579-590 ustawy Pzp.</w:t>
      </w:r>
    </w:p>
    <w:p w14:paraId="7F04CFB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4" w:name="bookmark250"/>
      <w:bookmarkEnd w:id="224"/>
      <w:r w:rsidRPr="00B64271">
        <w:rPr>
          <w:rFonts w:eastAsia="Tahoma"/>
          <w:sz w:val="22"/>
          <w:szCs w:val="22"/>
          <w:lang w:bidi="pl-PL"/>
        </w:rPr>
        <w:t>Odwołanie przysługuje na:</w:t>
      </w:r>
    </w:p>
    <w:p w14:paraId="76A193A7" w14:textId="3A87DDF8"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5" w:name="bookmark251"/>
      <w:bookmarkEnd w:id="225"/>
      <w:r w:rsidRPr="00B64271">
        <w:rPr>
          <w:rFonts w:eastAsia="Tahoma"/>
          <w:sz w:val="22"/>
          <w:szCs w:val="22"/>
          <w:lang w:bidi="pl-PL"/>
        </w:rPr>
        <w:t>niezgodną z przepisami ustawy Pzp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6" w:name="bookmark252"/>
      <w:bookmarkEnd w:id="226"/>
      <w:r w:rsidRPr="00B64271">
        <w:rPr>
          <w:rFonts w:eastAsia="Tahoma"/>
          <w:sz w:val="22"/>
          <w:szCs w:val="22"/>
          <w:lang w:bidi="pl-PL"/>
        </w:rPr>
        <w:t>zaniechanie czynności w postępowaniu o udzielenie zamówienia, do której Zamawiający był obowiązany na podstawie ustawy Pzp;</w:t>
      </w:r>
    </w:p>
    <w:p w14:paraId="39094C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7" w:name="bookmark253"/>
      <w:bookmarkEnd w:id="227"/>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8" w:name="bookmark254"/>
      <w:bookmarkEnd w:id="228"/>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CE7808">
      <w:pPr>
        <w:widowControl w:val="0"/>
        <w:numPr>
          <w:ilvl w:val="0"/>
          <w:numId w:val="46"/>
        </w:numPr>
        <w:tabs>
          <w:tab w:val="left" w:pos="284"/>
          <w:tab w:val="left" w:pos="4358"/>
        </w:tabs>
        <w:ind w:left="284" w:hanging="284"/>
        <w:jc w:val="both"/>
        <w:rPr>
          <w:rFonts w:eastAsia="Tahoma"/>
          <w:sz w:val="22"/>
          <w:szCs w:val="22"/>
          <w:lang w:bidi="pl-PL"/>
        </w:rPr>
      </w:pPr>
      <w:bookmarkStart w:id="229" w:name="bookmark255"/>
      <w:bookmarkEnd w:id="229"/>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30" w:name="bookmark256"/>
      <w:bookmarkEnd w:id="230"/>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CE7808">
      <w:pPr>
        <w:widowControl w:val="0"/>
        <w:numPr>
          <w:ilvl w:val="0"/>
          <w:numId w:val="46"/>
        </w:numPr>
        <w:tabs>
          <w:tab w:val="left" w:pos="284"/>
        </w:tabs>
        <w:ind w:left="284" w:hanging="284"/>
        <w:jc w:val="both"/>
        <w:rPr>
          <w:rFonts w:eastAsia="Tahoma"/>
          <w:sz w:val="22"/>
          <w:szCs w:val="22"/>
          <w:lang w:bidi="pl-PL"/>
        </w:rPr>
      </w:pPr>
      <w:bookmarkStart w:id="231" w:name="bookmark257"/>
      <w:bookmarkEnd w:id="231"/>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2" w:name="bookmark258"/>
      <w:bookmarkEnd w:id="232"/>
    </w:p>
    <w:p w14:paraId="1E64A5AF" w14:textId="02FE9E56" w:rsidR="00B64271" w:rsidRPr="00AF2A3D" w:rsidRDefault="00B64271" w:rsidP="00CE7808">
      <w:pPr>
        <w:widowControl w:val="0"/>
        <w:numPr>
          <w:ilvl w:val="0"/>
          <w:numId w:val="46"/>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w:t>
      </w:r>
      <w:r w:rsidRPr="00AF2A3D">
        <w:rPr>
          <w:rFonts w:eastAsia="Courier New"/>
          <w:sz w:val="22"/>
          <w:szCs w:val="22"/>
          <w:lang w:bidi="pl-PL"/>
        </w:rPr>
        <w:lastRenderedPageBreak/>
        <w:t>Odwoławczej, o którym mowa w art. 519 ust. 1 ustawy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3834BF60" w14:textId="29252B1D" w:rsidR="00862A9D" w:rsidRDefault="0025721D" w:rsidP="007A0E48">
      <w:pPr>
        <w:tabs>
          <w:tab w:val="left" w:pos="1843"/>
        </w:tabs>
        <w:jc w:val="both"/>
        <w:rPr>
          <w:sz w:val="22"/>
          <w:szCs w:val="22"/>
        </w:rPr>
      </w:pPr>
      <w:r w:rsidRPr="0025721D">
        <w:rPr>
          <w:sz w:val="22"/>
          <w:szCs w:val="22"/>
        </w:rPr>
        <w:t xml:space="preserve">Załącznik Nr 2-              </w:t>
      </w:r>
      <w:r w:rsidR="0026278F">
        <w:rPr>
          <w:sz w:val="22"/>
          <w:szCs w:val="22"/>
        </w:rPr>
        <w:t>O</w:t>
      </w:r>
      <w:r w:rsidRPr="0025721D">
        <w:rPr>
          <w:sz w:val="22"/>
          <w:szCs w:val="22"/>
        </w:rPr>
        <w:t>pis przedmiotu zamówienia</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70963900"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Pr>
          <w:sz w:val="22"/>
          <w:szCs w:val="22"/>
        </w:rPr>
        <w:t>2</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74A097CB" w:rsidR="0026278F" w:rsidRDefault="0026278F" w:rsidP="0026278F">
      <w:pPr>
        <w:tabs>
          <w:tab w:val="left" w:pos="1843"/>
        </w:tabs>
        <w:jc w:val="both"/>
        <w:rPr>
          <w:sz w:val="22"/>
          <w:szCs w:val="22"/>
        </w:rPr>
      </w:pPr>
      <w:r>
        <w:rPr>
          <w:sz w:val="22"/>
          <w:szCs w:val="22"/>
        </w:rPr>
        <w:t>Załącznik Nr 2.8.-          Szczegółowy opis przedmiotu zamówienia/F</w:t>
      </w:r>
      <w:r w:rsidRPr="00862A9D">
        <w:rPr>
          <w:sz w:val="22"/>
          <w:szCs w:val="22"/>
        </w:rPr>
        <w:t xml:space="preserve">ormularz cenowy dla Części </w:t>
      </w:r>
      <w:r>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5695D0B1" w:rsidR="0026278F" w:rsidRDefault="0026278F" w:rsidP="0026278F">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0</w:t>
      </w:r>
    </w:p>
    <w:p w14:paraId="6C090461" w14:textId="4C73F888" w:rsidR="0026278F" w:rsidRDefault="0026278F" w:rsidP="0026278F">
      <w:pPr>
        <w:tabs>
          <w:tab w:val="left" w:pos="1843"/>
        </w:tabs>
        <w:jc w:val="both"/>
        <w:rPr>
          <w:sz w:val="22"/>
          <w:szCs w:val="22"/>
        </w:rPr>
      </w:pPr>
      <w:r>
        <w:rPr>
          <w:sz w:val="22"/>
          <w:szCs w:val="22"/>
        </w:rPr>
        <w:t>Załącznik Nr 2.11.-        Szczegółowy opis przedmiotu zamówienia/F</w:t>
      </w:r>
      <w:r w:rsidRPr="00862A9D">
        <w:rPr>
          <w:sz w:val="22"/>
          <w:szCs w:val="22"/>
        </w:rPr>
        <w:t>ormularz cenowy dla Części 1</w:t>
      </w:r>
      <w:r>
        <w:rPr>
          <w:sz w:val="22"/>
          <w:szCs w:val="22"/>
        </w:rPr>
        <w:t>1</w:t>
      </w:r>
    </w:p>
    <w:p w14:paraId="5216085E" w14:textId="18125845" w:rsidR="0026278F" w:rsidRDefault="0026278F" w:rsidP="0026278F">
      <w:pPr>
        <w:tabs>
          <w:tab w:val="left" w:pos="1843"/>
        </w:tabs>
        <w:jc w:val="both"/>
        <w:rPr>
          <w:sz w:val="22"/>
          <w:szCs w:val="22"/>
        </w:rPr>
      </w:pPr>
      <w:r>
        <w:rPr>
          <w:sz w:val="22"/>
          <w:szCs w:val="22"/>
        </w:rPr>
        <w:t>Załącznik Nr 2.12.-        Szczegółowy opis przedmiotu zamówienia/F</w:t>
      </w:r>
      <w:r w:rsidRPr="00862A9D">
        <w:rPr>
          <w:sz w:val="22"/>
          <w:szCs w:val="22"/>
        </w:rPr>
        <w:t>ormularz cenowy dla Części 1</w:t>
      </w:r>
      <w:r>
        <w:rPr>
          <w:sz w:val="22"/>
          <w:szCs w:val="22"/>
        </w:rPr>
        <w:t>2</w:t>
      </w:r>
    </w:p>
    <w:p w14:paraId="324BE8C6" w14:textId="12D100E6" w:rsidR="0026278F" w:rsidRDefault="0026278F" w:rsidP="0026278F">
      <w:pPr>
        <w:tabs>
          <w:tab w:val="left" w:pos="1843"/>
        </w:tabs>
        <w:jc w:val="both"/>
        <w:rPr>
          <w:sz w:val="22"/>
          <w:szCs w:val="22"/>
        </w:rPr>
      </w:pPr>
      <w:r>
        <w:rPr>
          <w:sz w:val="22"/>
          <w:szCs w:val="22"/>
        </w:rPr>
        <w:t>Załącznik Nr 2.13.-        Szczegółowy opis przedmiotu zamówienia/F</w:t>
      </w:r>
      <w:r w:rsidRPr="00862A9D">
        <w:rPr>
          <w:sz w:val="22"/>
          <w:szCs w:val="22"/>
        </w:rPr>
        <w:t>ormularz cenowy dla Części 1</w:t>
      </w:r>
      <w:r>
        <w:rPr>
          <w:sz w:val="22"/>
          <w:szCs w:val="22"/>
        </w:rPr>
        <w:t>3</w:t>
      </w:r>
    </w:p>
    <w:p w14:paraId="252DC800" w14:textId="771C2303" w:rsidR="0026278F" w:rsidRDefault="0026278F" w:rsidP="0026278F">
      <w:pPr>
        <w:tabs>
          <w:tab w:val="left" w:pos="1843"/>
        </w:tabs>
        <w:jc w:val="both"/>
        <w:rPr>
          <w:sz w:val="22"/>
          <w:szCs w:val="22"/>
        </w:rPr>
      </w:pPr>
      <w:r>
        <w:rPr>
          <w:sz w:val="22"/>
          <w:szCs w:val="22"/>
        </w:rPr>
        <w:t>Załącznik Nr 2.1.-          Szczegółowy opis przedmiotu zamówienia/F</w:t>
      </w:r>
      <w:r w:rsidRPr="00862A9D">
        <w:rPr>
          <w:sz w:val="22"/>
          <w:szCs w:val="22"/>
        </w:rPr>
        <w:t>ormularz cenowy dla Części 1</w:t>
      </w:r>
      <w:r>
        <w:rPr>
          <w:sz w:val="22"/>
          <w:szCs w:val="22"/>
        </w:rPr>
        <w:t>4</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45EBC380" w14:textId="0CE8E819" w:rsidR="001A468D" w:rsidRPr="00146D82" w:rsidRDefault="001A468D" w:rsidP="007A0E48">
      <w:pPr>
        <w:pStyle w:val="Default"/>
        <w:jc w:val="both"/>
        <w:rPr>
          <w:sz w:val="22"/>
          <w:szCs w:val="22"/>
        </w:rPr>
      </w:pPr>
      <w:r>
        <w:rPr>
          <w:bCs/>
          <w:sz w:val="22"/>
          <w:szCs w:val="22"/>
        </w:rPr>
        <w:t>Załącznik Nr 8 -             Wykaz dostaw</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Pr="0025721D" w:rsidRDefault="0025721D" w:rsidP="0025721D">
      <w:pPr>
        <w:suppressAutoHyphens/>
        <w:jc w:val="right"/>
        <w:textAlignment w:val="baseline"/>
        <w:rPr>
          <w:rFonts w:eastAsia="Arial"/>
          <w:b/>
          <w:kern w:val="1"/>
          <w:sz w:val="22"/>
          <w:szCs w:val="22"/>
          <w:lang w:eastAsia="zh-CN" w:bidi="hi-IN"/>
        </w:rPr>
      </w:pPr>
    </w:p>
    <w:p w14:paraId="0944820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43C4C69" w14:textId="77777777" w:rsidR="0025721D" w:rsidRPr="0025721D" w:rsidRDefault="0025721D" w:rsidP="0025721D">
      <w:pPr>
        <w:suppressAutoHyphens/>
        <w:jc w:val="right"/>
        <w:textAlignment w:val="baseline"/>
        <w:rPr>
          <w:rFonts w:eastAsia="Arial"/>
          <w:b/>
          <w:kern w:val="1"/>
          <w:sz w:val="22"/>
          <w:szCs w:val="22"/>
          <w:lang w:eastAsia="zh-CN" w:bidi="hi-IN"/>
        </w:rPr>
      </w:pPr>
    </w:p>
    <w:p w14:paraId="384C2F23" w14:textId="77777777" w:rsidR="0025721D" w:rsidRPr="0025721D" w:rsidRDefault="0025721D" w:rsidP="0025721D">
      <w:pPr>
        <w:suppressAutoHyphens/>
        <w:jc w:val="right"/>
        <w:textAlignment w:val="baseline"/>
        <w:rPr>
          <w:rFonts w:eastAsia="Arial"/>
          <w:b/>
          <w:kern w:val="1"/>
          <w:sz w:val="22"/>
          <w:szCs w:val="22"/>
          <w:lang w:eastAsia="zh-CN" w:bidi="hi-IN"/>
        </w:rPr>
      </w:pPr>
    </w:p>
    <w:p w14:paraId="4BFA3E70" w14:textId="77777777" w:rsidR="009F028C" w:rsidRDefault="009F028C" w:rsidP="009F028C">
      <w:pPr>
        <w:autoSpaceDE w:val="0"/>
        <w:autoSpaceDN w:val="0"/>
        <w:adjustRightInd w:val="0"/>
        <w:rPr>
          <w:rFonts w:eastAsia="Calibri"/>
          <w:lang w:eastAsia="en-US"/>
        </w:rPr>
      </w:pPr>
    </w:p>
    <w:p w14:paraId="5A3A3ACF" w14:textId="77777777" w:rsidR="009F028C" w:rsidRDefault="009F028C" w:rsidP="009F028C">
      <w:pPr>
        <w:autoSpaceDE w:val="0"/>
        <w:autoSpaceDN w:val="0"/>
        <w:adjustRightInd w:val="0"/>
        <w:rPr>
          <w:rFonts w:eastAsia="Calibri"/>
          <w:lang w:eastAsia="en-US"/>
        </w:rPr>
      </w:pPr>
    </w:p>
    <w:p w14:paraId="06EEF52A" w14:textId="77777777" w:rsidR="009F028C" w:rsidRPr="009F028C" w:rsidRDefault="009F028C" w:rsidP="009F028C">
      <w:pPr>
        <w:autoSpaceDE w:val="0"/>
        <w:autoSpaceDN w:val="0"/>
        <w:adjustRightInd w:val="0"/>
        <w:rPr>
          <w:rFonts w:eastAsia="Calibri"/>
          <w:lang w:eastAsia="en-US"/>
        </w:rPr>
      </w:pPr>
    </w:p>
    <w:p w14:paraId="64E53D43" w14:textId="77777777" w:rsidR="009F028C" w:rsidRPr="009F028C" w:rsidRDefault="009F028C" w:rsidP="009F028C">
      <w:pPr>
        <w:autoSpaceDE w:val="0"/>
        <w:autoSpaceDN w:val="0"/>
        <w:adjustRightInd w:val="0"/>
        <w:ind w:left="5664" w:firstLine="708"/>
        <w:rPr>
          <w:rFonts w:eastAsia="Calibri"/>
          <w:b/>
          <w:i/>
          <w:sz w:val="22"/>
          <w:szCs w:val="22"/>
          <w:lang w:eastAsia="en-US"/>
        </w:rPr>
      </w:pPr>
    </w:p>
    <w:p w14:paraId="49FFB2C3" w14:textId="6F4D61F1" w:rsidR="00FB4F67" w:rsidRDefault="00FB4F67" w:rsidP="00FB4F67">
      <w:pPr>
        <w:widowControl w:val="0"/>
        <w:rPr>
          <w:rFonts w:eastAsia="Tahoma"/>
          <w:sz w:val="22"/>
          <w:szCs w:val="22"/>
          <w:lang w:bidi="pl-PL"/>
        </w:rPr>
      </w:pPr>
      <w:r w:rsidRPr="00D77B92">
        <w:rPr>
          <w:rFonts w:eastAsia="Tahoma"/>
          <w:sz w:val="22"/>
          <w:szCs w:val="22"/>
          <w:lang w:bidi="pl-PL"/>
        </w:rPr>
        <w:t xml:space="preserve">Warszawa, dnia </w:t>
      </w:r>
      <w:r w:rsidR="00A02DD2">
        <w:rPr>
          <w:rFonts w:eastAsia="Tahoma"/>
          <w:sz w:val="22"/>
          <w:szCs w:val="22"/>
          <w:lang w:bidi="pl-PL"/>
        </w:rPr>
        <w:t>11</w:t>
      </w:r>
      <w:r w:rsidR="00FD49B6">
        <w:rPr>
          <w:rFonts w:eastAsia="Tahoma"/>
          <w:sz w:val="22"/>
          <w:szCs w:val="22"/>
          <w:lang w:bidi="pl-PL"/>
        </w:rPr>
        <w:t xml:space="preserve"> </w:t>
      </w:r>
      <w:r w:rsidR="0069420F">
        <w:rPr>
          <w:rFonts w:eastAsia="Tahoma"/>
          <w:sz w:val="22"/>
          <w:szCs w:val="22"/>
          <w:lang w:bidi="pl-PL"/>
        </w:rPr>
        <w:t>października</w:t>
      </w:r>
      <w:r w:rsidRPr="00D77B92">
        <w:rPr>
          <w:rFonts w:eastAsia="Tahoma"/>
          <w:sz w:val="22"/>
          <w:szCs w:val="22"/>
          <w:lang w:bidi="pl-PL"/>
        </w:rPr>
        <w:t xml:space="preserve"> 2021r.</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6F1982E3" w14:textId="77777777" w:rsidR="00DD7E14" w:rsidRDefault="00DD7E14" w:rsidP="00146D82">
      <w:pPr>
        <w:ind w:left="6372"/>
        <w:jc w:val="both"/>
        <w:rPr>
          <w:b/>
          <w:sz w:val="22"/>
          <w:szCs w:val="22"/>
        </w:rPr>
      </w:pPr>
    </w:p>
    <w:sectPr w:rsidR="00DD7E14" w:rsidSect="00F734F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8CED" w14:textId="77777777" w:rsidR="00F167BA" w:rsidRDefault="00F167BA" w:rsidP="0048109A">
      <w:r>
        <w:separator/>
      </w:r>
    </w:p>
  </w:endnote>
  <w:endnote w:type="continuationSeparator" w:id="0">
    <w:p w14:paraId="2BAE5566" w14:textId="77777777" w:rsidR="00F167BA" w:rsidRDefault="00F167BA"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F734FF" w:rsidRPr="001641D7" w:rsidRDefault="00F734F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DD7E14">
      <w:rPr>
        <w:noProof/>
        <w:sz w:val="20"/>
        <w:szCs w:val="20"/>
        <w:lang w:val="pl-PL"/>
      </w:rPr>
      <w:t>23</w:t>
    </w:r>
    <w:r w:rsidRPr="001641D7">
      <w:rPr>
        <w:sz w:val="20"/>
        <w:szCs w:val="20"/>
      </w:rPr>
      <w:fldChar w:fldCharType="end"/>
    </w:r>
  </w:p>
  <w:p w14:paraId="5154591C" w14:textId="77777777" w:rsidR="00F734FF" w:rsidRDefault="00F734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466C" w14:textId="77777777" w:rsidR="00F167BA" w:rsidRDefault="00F167BA" w:rsidP="0048109A">
      <w:r>
        <w:separator/>
      </w:r>
    </w:p>
  </w:footnote>
  <w:footnote w:type="continuationSeparator" w:id="0">
    <w:p w14:paraId="39758936" w14:textId="77777777" w:rsidR="00F167BA" w:rsidRDefault="00F167BA"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15:restartNumberingAfterBreak="0">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7"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2D2CF0"/>
    <w:multiLevelType w:val="hybridMultilevel"/>
    <w:tmpl w:val="3160B00E"/>
    <w:lvl w:ilvl="0" w:tplc="C07CE88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3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49617D"/>
    <w:multiLevelType w:val="hybridMultilevel"/>
    <w:tmpl w:val="76AE51C0"/>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759A2"/>
    <w:multiLevelType w:val="multilevel"/>
    <w:tmpl w:val="6A0CC2B8"/>
    <w:lvl w:ilvl="0">
      <w:start w:val="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087DEC"/>
    <w:multiLevelType w:val="hybridMultilevel"/>
    <w:tmpl w:val="667E7046"/>
    <w:lvl w:ilvl="0" w:tplc="7E32E742">
      <w:start w:val="1"/>
      <w:numFmt w:val="decimal"/>
      <w:lvlText w:val="%1)"/>
      <w:lvlJc w:val="left"/>
      <w:pPr>
        <w:ind w:left="502" w:hanging="360"/>
      </w:pPr>
      <w:rPr>
        <w:rFonts w:hint="default"/>
        <w:sz w:val="22"/>
        <w:szCs w:val="22"/>
      </w:rPr>
    </w:lvl>
    <w:lvl w:ilvl="1" w:tplc="B2E21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2"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67E509D4"/>
    <w:multiLevelType w:val="multilevel"/>
    <w:tmpl w:val="6B16C310"/>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D632B1A"/>
    <w:multiLevelType w:val="hybridMultilevel"/>
    <w:tmpl w:val="7E4ED546"/>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E26E96"/>
    <w:multiLevelType w:val="multilevel"/>
    <w:tmpl w:val="74CE98BC"/>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43316C"/>
    <w:multiLevelType w:val="hybridMultilevel"/>
    <w:tmpl w:val="EEBE8ED0"/>
    <w:lvl w:ilvl="0" w:tplc="2F321B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29"/>
  </w:num>
  <w:num w:numId="3">
    <w:abstractNumId w:val="39"/>
  </w:num>
  <w:num w:numId="4">
    <w:abstractNumId w:val="37"/>
  </w:num>
  <w:num w:numId="5">
    <w:abstractNumId w:val="12"/>
  </w:num>
  <w:num w:numId="6">
    <w:abstractNumId w:val="48"/>
  </w:num>
  <w:num w:numId="7">
    <w:abstractNumId w:val="38"/>
  </w:num>
  <w:num w:numId="8">
    <w:abstractNumId w:val="16"/>
  </w:num>
  <w:num w:numId="9">
    <w:abstractNumId w:val="59"/>
  </w:num>
  <w:num w:numId="10">
    <w:abstractNumId w:val="40"/>
  </w:num>
  <w:num w:numId="11">
    <w:abstractNumId w:val="42"/>
  </w:num>
  <w:num w:numId="12">
    <w:abstractNumId w:val="55"/>
  </w:num>
  <w:num w:numId="13">
    <w:abstractNumId w:val="56"/>
  </w:num>
  <w:num w:numId="14">
    <w:abstractNumId w:val="46"/>
  </w:num>
  <w:num w:numId="15">
    <w:abstractNumId w:val="11"/>
  </w:num>
  <w:num w:numId="16">
    <w:abstractNumId w:val="19"/>
  </w:num>
  <w:num w:numId="17">
    <w:abstractNumId w:val="54"/>
  </w:num>
  <w:num w:numId="18">
    <w:abstractNumId w:val="45"/>
  </w:num>
  <w:num w:numId="19">
    <w:abstractNumId w:val="50"/>
  </w:num>
  <w:num w:numId="20">
    <w:abstractNumId w:val="36"/>
  </w:num>
  <w:num w:numId="21">
    <w:abstractNumId w:val="67"/>
  </w:num>
  <w:num w:numId="22">
    <w:abstractNumId w:val="61"/>
  </w:num>
  <w:num w:numId="23">
    <w:abstractNumId w:val="62"/>
  </w:num>
  <w:num w:numId="24">
    <w:abstractNumId w:val="68"/>
  </w:num>
  <w:num w:numId="25">
    <w:abstractNumId w:val="60"/>
  </w:num>
  <w:num w:numId="26">
    <w:abstractNumId w:val="17"/>
  </w:num>
  <w:num w:numId="27">
    <w:abstractNumId w:val="28"/>
  </w:num>
  <w:num w:numId="28">
    <w:abstractNumId w:val="47"/>
  </w:num>
  <w:num w:numId="29">
    <w:abstractNumId w:val="65"/>
  </w:num>
  <w:num w:numId="30">
    <w:abstractNumId w:val="35"/>
  </w:num>
  <w:num w:numId="31">
    <w:abstractNumId w:val="23"/>
  </w:num>
  <w:num w:numId="32">
    <w:abstractNumId w:val="10"/>
  </w:num>
  <w:num w:numId="33">
    <w:abstractNumId w:val="27"/>
  </w:num>
  <w:num w:numId="34">
    <w:abstractNumId w:val="52"/>
  </w:num>
  <w:num w:numId="35">
    <w:abstractNumId w:val="33"/>
  </w:num>
  <w:num w:numId="36">
    <w:abstractNumId w:val="41"/>
  </w:num>
  <w:num w:numId="37">
    <w:abstractNumId w:val="15"/>
  </w:num>
  <w:num w:numId="38">
    <w:abstractNumId w:val="8"/>
  </w:num>
  <w:num w:numId="39">
    <w:abstractNumId w:val="18"/>
  </w:num>
  <w:num w:numId="40">
    <w:abstractNumId w:val="64"/>
  </w:num>
  <w:num w:numId="41">
    <w:abstractNumId w:val="13"/>
  </w:num>
  <w:num w:numId="42">
    <w:abstractNumId w:val="14"/>
  </w:num>
  <w:num w:numId="43">
    <w:abstractNumId w:val="24"/>
  </w:num>
  <w:num w:numId="44">
    <w:abstractNumId w:val="22"/>
  </w:num>
  <w:num w:numId="45">
    <w:abstractNumId w:val="32"/>
  </w:num>
  <w:num w:numId="46">
    <w:abstractNumId w:val="7"/>
  </w:num>
  <w:num w:numId="47">
    <w:abstractNumId w:val="66"/>
  </w:num>
  <w:num w:numId="48">
    <w:abstractNumId w:val="25"/>
  </w:num>
  <w:num w:numId="49">
    <w:abstractNumId w:val="30"/>
  </w:num>
  <w:num w:numId="50">
    <w:abstractNumId w:val="31"/>
  </w:num>
  <w:num w:numId="51">
    <w:abstractNumId w:val="63"/>
  </w:num>
  <w:num w:numId="52">
    <w:abstractNumId w:val="6"/>
  </w:num>
  <w:num w:numId="53">
    <w:abstractNumId w:val="53"/>
  </w:num>
  <w:num w:numId="54">
    <w:abstractNumId w:val="20"/>
  </w:num>
  <w:num w:numId="55">
    <w:abstractNumId w:val="49"/>
  </w:num>
  <w:num w:numId="56">
    <w:abstractNumId w:val="9"/>
  </w:num>
  <w:num w:numId="57">
    <w:abstractNumId w:val="26"/>
  </w:num>
  <w:num w:numId="58">
    <w:abstractNumId w:val="34"/>
  </w:num>
  <w:num w:numId="59">
    <w:abstractNumId w:val="43"/>
  </w:num>
  <w:num w:numId="60">
    <w:abstractNumId w:val="58"/>
  </w:num>
  <w:num w:numId="61">
    <w:abstractNumId w:val="57"/>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2CDB"/>
    <w:rsid w:val="00063766"/>
    <w:rsid w:val="0006402D"/>
    <w:rsid w:val="000650D0"/>
    <w:rsid w:val="000653B1"/>
    <w:rsid w:val="000660A4"/>
    <w:rsid w:val="00066955"/>
    <w:rsid w:val="00066A42"/>
    <w:rsid w:val="00066CCB"/>
    <w:rsid w:val="00066ED0"/>
    <w:rsid w:val="000671BF"/>
    <w:rsid w:val="00067AD6"/>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6E8A"/>
    <w:rsid w:val="00116EC6"/>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588"/>
    <w:rsid w:val="001C03FD"/>
    <w:rsid w:val="001C0DB4"/>
    <w:rsid w:val="001C283E"/>
    <w:rsid w:val="001C3169"/>
    <w:rsid w:val="001C3750"/>
    <w:rsid w:val="001C3C5C"/>
    <w:rsid w:val="001C423A"/>
    <w:rsid w:val="001C4ADF"/>
    <w:rsid w:val="001C5727"/>
    <w:rsid w:val="001C6618"/>
    <w:rsid w:val="001C6928"/>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56"/>
    <w:rsid w:val="002540EE"/>
    <w:rsid w:val="0025426A"/>
    <w:rsid w:val="0025471D"/>
    <w:rsid w:val="00254870"/>
    <w:rsid w:val="00254B6B"/>
    <w:rsid w:val="00254BE4"/>
    <w:rsid w:val="0025529D"/>
    <w:rsid w:val="0025533C"/>
    <w:rsid w:val="00255596"/>
    <w:rsid w:val="002560CA"/>
    <w:rsid w:val="00256A33"/>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40C3"/>
    <w:rsid w:val="002B4860"/>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3B77"/>
    <w:rsid w:val="003E46B1"/>
    <w:rsid w:val="003E4AC3"/>
    <w:rsid w:val="003E5140"/>
    <w:rsid w:val="003E5486"/>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D6B"/>
    <w:rsid w:val="005F2301"/>
    <w:rsid w:val="005F2534"/>
    <w:rsid w:val="005F3FF3"/>
    <w:rsid w:val="005F4BCE"/>
    <w:rsid w:val="005F5576"/>
    <w:rsid w:val="005F6641"/>
    <w:rsid w:val="005F6820"/>
    <w:rsid w:val="005F6CF7"/>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F5E"/>
    <w:rsid w:val="006572FF"/>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E90"/>
    <w:rsid w:val="00875EAC"/>
    <w:rsid w:val="00876A9D"/>
    <w:rsid w:val="00876CE2"/>
    <w:rsid w:val="00877FF5"/>
    <w:rsid w:val="008826BC"/>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F05"/>
    <w:rsid w:val="008D761F"/>
    <w:rsid w:val="008E0447"/>
    <w:rsid w:val="008E13DF"/>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F19"/>
    <w:rsid w:val="00902C2B"/>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10E4"/>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6F0B"/>
    <w:rsid w:val="009C0173"/>
    <w:rsid w:val="009C0307"/>
    <w:rsid w:val="009C0E14"/>
    <w:rsid w:val="009C22A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359C"/>
    <w:rsid w:val="00AC424F"/>
    <w:rsid w:val="00AC4A16"/>
    <w:rsid w:val="00AC569C"/>
    <w:rsid w:val="00AC5D56"/>
    <w:rsid w:val="00AC653C"/>
    <w:rsid w:val="00AC7862"/>
    <w:rsid w:val="00AD016D"/>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66E5"/>
    <w:rsid w:val="00DB6DAC"/>
    <w:rsid w:val="00DC00B3"/>
    <w:rsid w:val="00DC08B7"/>
    <w:rsid w:val="00DC13C7"/>
    <w:rsid w:val="00DC1B62"/>
    <w:rsid w:val="00DC1FFF"/>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F5F4368E-7F85-472C-A2E9-F08D9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styleId="Nierozpoznanawzmianka">
    <w:name w:val="Unresolved Mention"/>
    <w:basedOn w:val="Domylnaczcionkaakapitu"/>
    <w:uiPriority w:val="99"/>
    <w:semiHidden/>
    <w:unhideWhenUsed/>
    <w:rsid w:val="00F7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omentarzpzp.pl/strona-glowna/dzial-ii/rozdzial-3/oddzial-2/art-138" TargetMode="External"/><Relationship Id="rId20" Type="http://schemas.openxmlformats.org/officeDocument/2006/relationships/hyperlink" Target="mailto:m.zakrzewska@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zakrzewska@igbmazovia.pl" TargetMode="External"/><Relationship Id="rId23" Type="http://schemas.openxmlformats.org/officeDocument/2006/relationships/footer" Target="footer1.xml"/><Relationship Id="rId10" Type="http://schemas.openxmlformats.org/officeDocument/2006/relationships/hyperlink" Target="http://www.igbmazovia.pl" TargetMode="External"/><Relationship Id="rId19"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4B5-5DA5-4358-886F-9DE6943D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19</Pages>
  <Words>9535</Words>
  <Characters>57213</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66615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46</cp:revision>
  <cp:lastPrinted>2021-10-11T10:18:00Z</cp:lastPrinted>
  <dcterms:created xsi:type="dcterms:W3CDTF">2021-04-07T13:30:00Z</dcterms:created>
  <dcterms:modified xsi:type="dcterms:W3CDTF">2021-10-15T10:11:00Z</dcterms:modified>
</cp:coreProperties>
</file>