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5BA3E728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bookmarkStart w:id="0" w:name="_Hlk68688532"/>
      <w:r w:rsidR="000A470A" w:rsidRPr="00F734FF">
        <w:rPr>
          <w:b/>
          <w:bCs/>
          <w:i/>
          <w:iCs/>
          <w:sz w:val="22"/>
          <w:szCs w:val="22"/>
        </w:rPr>
        <w:t xml:space="preserve">Sukcesywne dostawy </w:t>
      </w:r>
      <w:r w:rsidR="000A470A" w:rsidRPr="00206A9B">
        <w:rPr>
          <w:rFonts w:eastAsia="Calibri"/>
          <w:b/>
          <w:bCs/>
          <w:i/>
          <w:iCs/>
          <w:sz w:val="22"/>
          <w:szCs w:val="22"/>
          <w:lang w:eastAsia="en-US"/>
        </w:rPr>
        <w:t>szkła do produkcji stolarki aluminiowej przeciwpożarowej oraz szkła</w:t>
      </w:r>
      <w:r w:rsidR="000A470A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="000A470A" w:rsidRPr="00206A9B">
        <w:rPr>
          <w:rFonts w:eastAsia="Calibri"/>
          <w:b/>
          <w:bCs/>
          <w:i/>
          <w:iCs/>
          <w:sz w:val="22"/>
          <w:szCs w:val="22"/>
          <w:lang w:eastAsia="en-US"/>
        </w:rPr>
        <w:t>do produkcji stolarki PCV i ALU</w:t>
      </w:r>
      <w:r w:rsidR="000A470A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dwie części</w:t>
      </w:r>
      <w:bookmarkEnd w:id="0"/>
      <w:r w:rsidR="000A470A" w:rsidRPr="00F734FF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Nr postępowania </w:t>
      </w:r>
      <w:r w:rsidR="000A470A">
        <w:rPr>
          <w:sz w:val="22"/>
          <w:szCs w:val="22"/>
          <w:lang w:eastAsia="zh-CN"/>
        </w:rPr>
        <w:t>2</w:t>
      </w:r>
      <w:r>
        <w:rPr>
          <w:sz w:val="22"/>
          <w:szCs w:val="22"/>
          <w:lang w:eastAsia="zh-CN"/>
        </w:rPr>
        <w:t>/04/2021/D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0A470A"/>
    <w:rsid w:val="004971E3"/>
    <w:rsid w:val="006D62FB"/>
    <w:rsid w:val="00A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2021-04-07T09:44:00Z</dcterms:created>
  <dcterms:modified xsi:type="dcterms:W3CDTF">2021-05-13T07:12:00Z</dcterms:modified>
</cp:coreProperties>
</file>