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BAA9C07" w:rsidR="0000682A" w:rsidRPr="0000682A" w:rsidRDefault="00406CD6"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406CD6">
        <w:rPr>
          <w:rFonts w:eastAsia="Arial Unicode MS"/>
          <w:bCs/>
          <w:color w:val="000000" w:themeColor="text1"/>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06CD6">
        <w:rPr>
          <w:rFonts w:eastAsia="Arial Unicode MS"/>
          <w:bCs/>
          <w:color w:val="000000" w:themeColor="text1"/>
          <w:kern w:val="3"/>
          <w:sz w:val="22"/>
          <w:szCs w:val="22"/>
          <w:lang w:eastAsia="en-US"/>
        </w:rPr>
        <w:tab/>
      </w:r>
      <w:r w:rsidRPr="00406CD6">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6B7BCE7D"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Wydział Gospodarczy </w:t>
      </w:r>
      <w:r w:rsidR="007A26D2">
        <w:rPr>
          <w:rFonts w:eastAsia="Calibri"/>
          <w:sz w:val="22"/>
          <w:szCs w:val="22"/>
          <w:lang w:eastAsia="en-US"/>
        </w:rPr>
        <w:t xml:space="preserve">Krajowego Rejestru Sądowego </w:t>
      </w:r>
      <w:r w:rsidRPr="005459CA">
        <w:rPr>
          <w:rFonts w:eastAsia="Calibri"/>
          <w:sz w:val="22"/>
          <w:szCs w:val="22"/>
          <w:lang w:eastAsia="en-US"/>
        </w:rPr>
        <w:t xml:space="preserve">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137F4">
        <w:rPr>
          <w:rFonts w:eastAsia="Calibri"/>
          <w:sz w:val="22"/>
          <w:szCs w:val="22"/>
          <w:lang w:eastAsia="en-US"/>
        </w:rPr>
        <w:t>. z 2022 r. poz.  893</w:t>
      </w:r>
      <w:r w:rsidR="001E2F34" w:rsidRPr="001E2F34">
        <w:rPr>
          <w:rFonts w:eastAsia="Calibri"/>
          <w:sz w:val="22"/>
          <w:szCs w:val="22"/>
          <w:lang w:eastAsia="en-US"/>
        </w:rPr>
        <w:t>).</w:t>
      </w:r>
    </w:p>
    <w:p w14:paraId="6BA4BC02" w14:textId="22ED1282"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6F3E3828" w14:textId="53E1B104" w:rsidR="00406CD6" w:rsidRPr="003214DA" w:rsidRDefault="00702C19" w:rsidP="00272F97">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w:t>
      </w:r>
      <w:r w:rsidR="00107AB9">
        <w:rPr>
          <w:rFonts w:eastAsia="Calibri"/>
          <w:bCs/>
          <w:sz w:val="22"/>
          <w:szCs w:val="22"/>
          <w:lang w:eastAsia="en-US"/>
        </w:rPr>
        <w:t>Jednorazowa dostawa</w:t>
      </w:r>
      <w:r w:rsidR="00135B6D" w:rsidRPr="007B601E">
        <w:rPr>
          <w:rFonts w:eastAsia="Calibri"/>
          <w:bCs/>
          <w:sz w:val="22"/>
          <w:szCs w:val="22"/>
          <w:lang w:eastAsia="en-US"/>
        </w:rPr>
        <w:t xml:space="preserve"> </w:t>
      </w:r>
      <w:r w:rsidR="008E11B3">
        <w:rPr>
          <w:rFonts w:eastAsia="Calibri"/>
          <w:bCs/>
          <w:sz w:val="22"/>
          <w:szCs w:val="22"/>
          <w:lang w:eastAsia="en-US"/>
        </w:rPr>
        <w:t xml:space="preserve">surowców </w:t>
      </w:r>
      <w:r w:rsidR="00406CD6">
        <w:rPr>
          <w:rFonts w:eastAsia="Calibri"/>
          <w:bCs/>
          <w:sz w:val="22"/>
          <w:szCs w:val="22"/>
          <w:lang w:eastAsia="en-US"/>
        </w:rPr>
        <w:t xml:space="preserve">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4F1110">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sidR="009137F4">
        <w:rPr>
          <w:rFonts w:eastAsia="Calibri"/>
          <w:bCs/>
          <w:sz w:val="22"/>
          <w:szCs w:val="22"/>
          <w:lang w:eastAsia="en-US"/>
        </w:rPr>
        <w:t>etowej Mazovia</w:t>
      </w:r>
      <w:r w:rsidR="008E11B3">
        <w:rPr>
          <w:rFonts w:eastAsia="Calibri"/>
          <w:bCs/>
          <w:sz w:val="22"/>
          <w:szCs w:val="22"/>
          <w:lang w:eastAsia="en-US"/>
        </w:rPr>
        <w:t>„</w:t>
      </w:r>
      <w:r w:rsidR="009137F4">
        <w:rPr>
          <w:rFonts w:eastAsia="Calibri"/>
          <w:bCs/>
          <w:sz w:val="22"/>
          <w:szCs w:val="22"/>
          <w:lang w:eastAsia="en-US"/>
        </w:rPr>
        <w:t xml:space="preserve"> , </w:t>
      </w:r>
      <w:r w:rsidR="008E11B3">
        <w:rPr>
          <w:rFonts w:eastAsia="Calibri"/>
          <w:bCs/>
          <w:sz w:val="22"/>
          <w:szCs w:val="22"/>
          <w:lang w:eastAsia="en-US"/>
        </w:rPr>
        <w:t>w podziale na 7 części.</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A94675E"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272F97">
        <w:rPr>
          <w:rFonts w:eastAsia="Calibri"/>
          <w:sz w:val="22"/>
          <w:szCs w:val="22"/>
          <w:lang w:eastAsia="en-US"/>
        </w:rPr>
        <w:t>ofercie</w:t>
      </w:r>
      <w:r w:rsidR="003126AA">
        <w:rPr>
          <w:rFonts w:eastAsia="Calibri"/>
          <w:sz w:val="22"/>
          <w:szCs w:val="22"/>
          <w:lang w:eastAsia="en-US"/>
        </w:rPr>
        <w:t>,</w:t>
      </w:r>
      <w:r w:rsidR="00272F97">
        <w:rPr>
          <w:rFonts w:eastAsia="Calibri"/>
          <w:sz w:val="22"/>
          <w:szCs w:val="22"/>
          <w:lang w:eastAsia="en-US"/>
        </w:rPr>
        <w:t xml:space="preserve"> załączając d</w:t>
      </w:r>
      <w:r w:rsidR="009137F4">
        <w:rPr>
          <w:rFonts w:eastAsia="Calibri"/>
          <w:sz w:val="22"/>
          <w:szCs w:val="22"/>
          <w:lang w:eastAsia="en-US"/>
        </w:rPr>
        <w:t>o dostawy karty charakterystyki produktu.</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000072E"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00272F97">
        <w:rPr>
          <w:rFonts w:eastAsia="Calibri"/>
          <w:sz w:val="22"/>
          <w:szCs w:val="22"/>
          <w:lang w:eastAsia="en-US"/>
        </w:rPr>
        <w:t xml:space="preserve"> </w:t>
      </w:r>
      <w:r w:rsidRPr="00D40647">
        <w:rPr>
          <w:rFonts w:eastAsia="Calibri"/>
          <w:sz w:val="22"/>
          <w:szCs w:val="22"/>
          <w:lang w:eastAsia="en-US"/>
        </w:rPr>
        <w:t>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20B3EC38"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009137F4">
        <w:rPr>
          <w:sz w:val="22"/>
          <w:szCs w:val="22"/>
        </w:rPr>
        <w:t xml:space="preserve">wartość użytkową. </w:t>
      </w:r>
    </w:p>
    <w:p w14:paraId="3D916E5D" w14:textId="188CDDC0" w:rsidR="00EE3EC9" w:rsidRPr="00B0249D" w:rsidRDefault="00530247" w:rsidP="00B0249D">
      <w:pPr>
        <w:autoSpaceDE w:val="0"/>
        <w:autoSpaceDN w:val="0"/>
        <w:jc w:val="both"/>
        <w:rPr>
          <w:b/>
          <w:bCs/>
          <w:sz w:val="22"/>
          <w:szCs w:val="22"/>
        </w:rPr>
      </w:pPr>
      <w:r w:rsidRPr="00D40647">
        <w:rPr>
          <w:sz w:val="22"/>
          <w:szCs w:val="22"/>
        </w:rPr>
        <w:t>3. Wykonawca dostarczy przedmiot zamów</w:t>
      </w:r>
      <w:r w:rsidR="008E11B3">
        <w:rPr>
          <w:sz w:val="22"/>
          <w:szCs w:val="22"/>
        </w:rPr>
        <w:t>ienia w opakowaniach zbiorczych</w:t>
      </w:r>
      <w:r w:rsidR="002B1432">
        <w:rPr>
          <w:sz w:val="22"/>
          <w:szCs w:val="22"/>
        </w:rPr>
        <w:t xml:space="preserve"> odpowiednio dla każdego asortymentu, </w:t>
      </w:r>
      <w:r w:rsidR="00EE3EC9">
        <w:rPr>
          <w:sz w:val="22"/>
          <w:szCs w:val="22"/>
        </w:rPr>
        <w:t xml:space="preserve"> zapewniając</w:t>
      </w:r>
      <w:r w:rsidRPr="00D40647">
        <w:rPr>
          <w:sz w:val="22"/>
          <w:szCs w:val="22"/>
        </w:rPr>
        <w:t xml:space="preserve"> odpowiednie zabezpieczenie </w:t>
      </w:r>
      <w:r w:rsidR="00EE3EC9">
        <w:rPr>
          <w:sz w:val="22"/>
          <w:szCs w:val="22"/>
        </w:rPr>
        <w:t xml:space="preserve">całego </w:t>
      </w:r>
      <w:r w:rsidRPr="00D40647">
        <w:rPr>
          <w:sz w:val="22"/>
          <w:szCs w:val="22"/>
        </w:rPr>
        <w:t>dostarczanego asortymentu;</w:t>
      </w:r>
    </w:p>
    <w:p w14:paraId="604E067E" w14:textId="77777777" w:rsidR="00406CD6" w:rsidRDefault="00406CD6" w:rsidP="003E116C">
      <w:pPr>
        <w:autoSpaceDE w:val="0"/>
        <w:autoSpaceDN w:val="0"/>
        <w:adjustRightInd w:val="0"/>
        <w:jc w:val="center"/>
        <w:rPr>
          <w:rFonts w:eastAsia="Calibri"/>
          <w:b/>
          <w:bCs/>
          <w:color w:val="000000"/>
          <w:sz w:val="22"/>
          <w:szCs w:val="22"/>
          <w:lang w:eastAsia="en-US"/>
        </w:rPr>
      </w:pPr>
    </w:p>
    <w:p w14:paraId="586D35CD" w14:textId="77777777" w:rsidR="008E11B3" w:rsidRDefault="008E11B3" w:rsidP="003E116C">
      <w:pPr>
        <w:autoSpaceDE w:val="0"/>
        <w:autoSpaceDN w:val="0"/>
        <w:adjustRightInd w:val="0"/>
        <w:jc w:val="center"/>
        <w:rPr>
          <w:rFonts w:eastAsia="Calibri"/>
          <w:b/>
          <w:bCs/>
          <w:color w:val="000000"/>
          <w:sz w:val="22"/>
          <w:szCs w:val="22"/>
          <w:lang w:eastAsia="en-US"/>
        </w:rPr>
      </w:pPr>
    </w:p>
    <w:p w14:paraId="493363BB" w14:textId="77777777" w:rsidR="00EA1E4E" w:rsidRDefault="00EA1E4E" w:rsidP="003E116C">
      <w:pPr>
        <w:autoSpaceDE w:val="0"/>
        <w:autoSpaceDN w:val="0"/>
        <w:adjustRightInd w:val="0"/>
        <w:jc w:val="center"/>
        <w:rPr>
          <w:rFonts w:eastAsia="Calibri"/>
          <w:b/>
          <w:bCs/>
          <w:color w:val="000000"/>
          <w:sz w:val="22"/>
          <w:szCs w:val="22"/>
          <w:lang w:eastAsia="en-US"/>
        </w:rPr>
      </w:pPr>
    </w:p>
    <w:p w14:paraId="5385C5EA" w14:textId="77777777" w:rsidR="00EA1E4E" w:rsidRDefault="00EA1E4E"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7EE36388" w:rsidR="00EE3EC9" w:rsidRPr="00EE3EC9"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A97CC7">
        <w:rPr>
          <w:rFonts w:eastAsia="Calibri"/>
          <w:sz w:val="22"/>
          <w:szCs w:val="22"/>
          <w:lang w:eastAsia="en-US"/>
        </w:rPr>
        <w:t xml:space="preserve">7 </w:t>
      </w:r>
      <w:r w:rsidR="00B9795E">
        <w:rPr>
          <w:rFonts w:eastAsia="Calibri"/>
          <w:sz w:val="22"/>
          <w:szCs w:val="22"/>
          <w:lang w:eastAsia="en-US"/>
        </w:rPr>
        <w:t xml:space="preserve">dni </w:t>
      </w:r>
      <w:r w:rsidR="00406CD6">
        <w:rPr>
          <w:rFonts w:eastAsia="Calibri"/>
          <w:sz w:val="22"/>
          <w:szCs w:val="22"/>
          <w:lang w:eastAsia="en-US"/>
        </w:rPr>
        <w:t>roboczych</w:t>
      </w:r>
      <w:r w:rsidR="00B9795E">
        <w:rPr>
          <w:rFonts w:eastAsia="Calibri"/>
          <w:sz w:val="22"/>
          <w:szCs w:val="22"/>
          <w:lang w:eastAsia="en-US"/>
        </w:rPr>
        <w:t xml:space="preserve"> </w:t>
      </w:r>
      <w:r w:rsidR="00EE3EC9">
        <w:rPr>
          <w:rFonts w:eastAsia="Calibri"/>
          <w:sz w:val="22"/>
          <w:szCs w:val="22"/>
          <w:lang w:eastAsia="en-US"/>
        </w:rPr>
        <w:t xml:space="preserve"> licząc od dnia</w:t>
      </w:r>
      <w:r w:rsidR="003F498E" w:rsidRPr="00980970">
        <w:rPr>
          <w:rFonts w:eastAsia="Calibri"/>
          <w:sz w:val="22"/>
          <w:szCs w:val="22"/>
          <w:lang w:eastAsia="en-US"/>
        </w:rPr>
        <w:t xml:space="preserve"> jej podpisania</w:t>
      </w:r>
      <w:r w:rsidR="00741166">
        <w:rPr>
          <w:rFonts w:eastAsia="Calibri"/>
          <w:sz w:val="22"/>
          <w:szCs w:val="22"/>
          <w:lang w:eastAsia="en-US"/>
        </w:rPr>
        <w:t>.</w:t>
      </w:r>
    </w:p>
    <w:p w14:paraId="5643EF1A" w14:textId="2E6E9B09" w:rsidR="00C631F0" w:rsidRPr="0090440B" w:rsidRDefault="00EE3EC9" w:rsidP="00C631F0">
      <w:pPr>
        <w:jc w:val="both"/>
        <w:rPr>
          <w:rFonts w:eastAsia="Calibri"/>
          <w:b/>
          <w:sz w:val="22"/>
          <w:szCs w:val="22"/>
          <w:lang w:eastAsia="en-US"/>
        </w:rPr>
      </w:pPr>
      <w:r>
        <w:rPr>
          <w:rFonts w:eastAsia="Calibri"/>
          <w:color w:val="000000"/>
          <w:sz w:val="22"/>
          <w:szCs w:val="22"/>
          <w:lang w:eastAsia="en-US"/>
        </w:rPr>
        <w:t xml:space="preserve">2. </w:t>
      </w:r>
      <w:r w:rsidR="003E116C" w:rsidRPr="005459CA">
        <w:rPr>
          <w:rFonts w:eastAsia="Calibri"/>
          <w:color w:val="000000"/>
          <w:sz w:val="22"/>
          <w:szCs w:val="22"/>
          <w:lang w:eastAsia="en-US"/>
        </w:rPr>
        <w:t xml:space="preserve">Wykonawca </w:t>
      </w:r>
      <w:r w:rsidR="009137F4">
        <w:rPr>
          <w:rFonts w:eastAsia="Calibri"/>
          <w:color w:val="000000"/>
          <w:sz w:val="22"/>
          <w:szCs w:val="22"/>
          <w:lang w:eastAsia="en-US"/>
        </w:rPr>
        <w:t>dostarczy</w:t>
      </w:r>
      <w:r w:rsidR="003E116C" w:rsidRPr="005459CA">
        <w:rPr>
          <w:rFonts w:eastAsia="Calibri"/>
          <w:color w:val="000000"/>
          <w:sz w:val="22"/>
          <w:szCs w:val="22"/>
          <w:lang w:eastAsia="en-US"/>
        </w:rPr>
        <w:t xml:space="preserve">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w:t>
      </w:r>
      <w:r w:rsidR="00A3164C" w:rsidRPr="0090440B">
        <w:rPr>
          <w:rFonts w:eastAsia="Calibri"/>
          <w:b/>
          <w:color w:val="000000"/>
          <w:sz w:val="22"/>
          <w:szCs w:val="22"/>
          <w:lang w:eastAsia="en-US"/>
        </w:rPr>
        <w:t>zakładu</w:t>
      </w:r>
      <w:r w:rsidR="00DF7689" w:rsidRPr="0090440B">
        <w:rPr>
          <w:rFonts w:eastAsia="Calibri"/>
          <w:b/>
          <w:color w:val="000000"/>
          <w:sz w:val="22"/>
          <w:szCs w:val="22"/>
          <w:lang w:eastAsia="en-US"/>
        </w:rPr>
        <w:t xml:space="preserve"> Mazowieckiej Instytucji Gospodarki Budżetowej Mazovia</w:t>
      </w:r>
      <w:r w:rsidR="00A3164C" w:rsidRPr="0090440B">
        <w:rPr>
          <w:rFonts w:eastAsia="Calibri"/>
          <w:b/>
          <w:color w:val="000000"/>
          <w:sz w:val="22"/>
          <w:szCs w:val="22"/>
          <w:lang w:eastAsia="en-US"/>
        </w:rPr>
        <w:t xml:space="preserve"> –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B12FEB">
        <w:rPr>
          <w:rFonts w:eastAsia="Calibri"/>
          <w:b/>
          <w:color w:val="000000"/>
          <w:sz w:val="22"/>
          <w:szCs w:val="22"/>
          <w:lang w:eastAsia="en-US"/>
        </w:rPr>
        <w:t>Cicha 8</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643E6329"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58951D71" w14:textId="77777777" w:rsidR="000222D1" w:rsidRDefault="000222D1"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w:t>
      </w:r>
      <w:r w:rsidRPr="00A96FEF">
        <w:rPr>
          <w:rFonts w:eastAsia="Calibri"/>
          <w:color w:val="000000"/>
          <w:sz w:val="22"/>
          <w:szCs w:val="22"/>
          <w:lang w:eastAsia="en-US"/>
        </w:rPr>
        <w:lastRenderedPageBreak/>
        <w:t>Ustawą z dnia 12 kwietnia 2019 r. o zmianie ustawy o podatku od towarów i usług oraz niektórych 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5DBA5829"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w:t>
      </w:r>
      <w:r w:rsidR="009137F4">
        <w:rPr>
          <w:rFonts w:eastAsia="Calibri"/>
          <w:color w:val="000000" w:themeColor="text1"/>
          <w:sz w:val="22"/>
          <w:szCs w:val="22"/>
          <w:lang w:eastAsia="en-US"/>
        </w:rPr>
        <w:t xml:space="preserve">aru, który miał być dostarczony . </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50D50891"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9137F4">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17B67D31" w:rsidR="003E116C"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r w:rsidR="009137F4">
        <w:rPr>
          <w:rFonts w:eastAsia="Calibri"/>
          <w:color w:val="000000" w:themeColor="text1"/>
          <w:sz w:val="22"/>
          <w:szCs w:val="22"/>
          <w:lang w:eastAsia="en-US"/>
        </w:rPr>
        <w:t xml:space="preserve"> </w:t>
      </w:r>
      <w:r w:rsidR="007358AB" w:rsidRPr="00E13453">
        <w:rPr>
          <w:rFonts w:eastAsia="Calibri"/>
          <w:color w:val="000000" w:themeColor="text1"/>
          <w:sz w:val="22"/>
          <w:szCs w:val="22"/>
          <w:lang w:eastAsia="en-US"/>
        </w:rPr>
        <w:t>.</w:t>
      </w:r>
    </w:p>
    <w:p w14:paraId="5CB8BB7B" w14:textId="77777777" w:rsidR="00AC0E81" w:rsidRDefault="009137F4"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d) w przypadku niezrealizowania obowiązków , o których  mowa w </w:t>
      </w:r>
      <w:r w:rsidRPr="009137F4">
        <w:rPr>
          <w:rFonts w:eastAsia="Calibri"/>
          <w:color w:val="000000" w:themeColor="text1"/>
          <w:sz w:val="22"/>
          <w:szCs w:val="22"/>
          <w:lang w:eastAsia="en-US"/>
        </w:rPr>
        <w:t>§ 7</w:t>
      </w:r>
      <w:r>
        <w:rPr>
          <w:rFonts w:eastAsia="Calibri"/>
          <w:color w:val="000000" w:themeColor="text1"/>
          <w:sz w:val="22"/>
          <w:szCs w:val="22"/>
          <w:lang w:eastAsia="en-US"/>
        </w:rPr>
        <w:t xml:space="preserve">, ust. 6 – w wysokości 1000 zł </w:t>
      </w:r>
      <w:r w:rsidR="00AC0E81">
        <w:rPr>
          <w:rFonts w:eastAsia="Calibri"/>
          <w:color w:val="000000" w:themeColor="text1"/>
          <w:sz w:val="22"/>
          <w:szCs w:val="22"/>
          <w:lang w:eastAsia="en-US"/>
        </w:rPr>
        <w:t xml:space="preserve">  </w:t>
      </w:r>
    </w:p>
    <w:p w14:paraId="5690A4C9" w14:textId="341CFE81" w:rsidR="009137F4" w:rsidRPr="00E13453" w:rsidRDefault="00AC0E81"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bookmarkStart w:id="0" w:name="_GoBack"/>
      <w:bookmarkEnd w:id="0"/>
      <w:r w:rsidR="009137F4">
        <w:rPr>
          <w:rFonts w:eastAsia="Calibri"/>
          <w:color w:val="000000" w:themeColor="text1"/>
          <w:sz w:val="22"/>
          <w:szCs w:val="22"/>
          <w:lang w:eastAsia="en-US"/>
        </w:rPr>
        <w:t>za każdy przypadek nierealizowania obowiązku.</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4C7F9C01"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r w:rsidR="009137F4">
        <w:rPr>
          <w:rFonts w:eastAsia="Calibri"/>
          <w:color w:val="000000" w:themeColor="text1"/>
          <w:sz w:val="22"/>
          <w:szCs w:val="22"/>
          <w:lang w:eastAsia="en-US"/>
        </w:rPr>
        <w:t xml:space="preserve"> </w:t>
      </w:r>
      <w:r w:rsidRPr="00E13453">
        <w:rPr>
          <w:rFonts w:eastAsia="Calibri"/>
          <w:color w:val="000000" w:themeColor="text1"/>
          <w:sz w:val="22"/>
          <w:szCs w:val="22"/>
          <w:lang w:eastAsia="en-US"/>
        </w:rPr>
        <w:t>.</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0F309AD0"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W przypadku zaistnienia Siły Wyższej</w:t>
      </w:r>
      <w:r w:rsidR="009137F4">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7D113136" w14:textId="77777777" w:rsidR="00B20E69" w:rsidRDefault="00B20E69" w:rsidP="00D21657">
      <w:pPr>
        <w:autoSpaceDE w:val="0"/>
        <w:autoSpaceDN w:val="0"/>
        <w:adjustRightInd w:val="0"/>
        <w:jc w:val="center"/>
        <w:rPr>
          <w:rFonts w:eastAsia="Calibri"/>
          <w:b/>
          <w:bCs/>
          <w:color w:val="000000"/>
          <w:sz w:val="22"/>
          <w:szCs w:val="22"/>
          <w:lang w:eastAsia="en-US"/>
        </w:rPr>
      </w:pPr>
    </w:p>
    <w:p w14:paraId="4E0678B3" w14:textId="77777777" w:rsidR="00EA1E4E" w:rsidRDefault="00EA1E4E" w:rsidP="00D21657">
      <w:pPr>
        <w:autoSpaceDE w:val="0"/>
        <w:autoSpaceDN w:val="0"/>
        <w:adjustRightInd w:val="0"/>
        <w:jc w:val="center"/>
        <w:rPr>
          <w:rFonts w:eastAsia="Calibri"/>
          <w:b/>
          <w:bCs/>
          <w:color w:val="000000"/>
          <w:sz w:val="22"/>
          <w:szCs w:val="22"/>
          <w:lang w:eastAsia="en-US"/>
        </w:rPr>
      </w:pPr>
    </w:p>
    <w:p w14:paraId="69514AEF" w14:textId="77777777" w:rsidR="00EA1E4E" w:rsidRDefault="00EA1E4E" w:rsidP="00D21657">
      <w:pPr>
        <w:autoSpaceDE w:val="0"/>
        <w:autoSpaceDN w:val="0"/>
        <w:adjustRightInd w:val="0"/>
        <w:jc w:val="center"/>
        <w:rPr>
          <w:rFonts w:eastAsia="Calibri"/>
          <w:b/>
          <w:bCs/>
          <w:color w:val="000000"/>
          <w:sz w:val="22"/>
          <w:szCs w:val="22"/>
          <w:lang w:eastAsia="en-US"/>
        </w:rPr>
      </w:pPr>
    </w:p>
    <w:p w14:paraId="2D049DC6" w14:textId="77777777" w:rsidR="00D21657" w:rsidRPr="0039245C" w:rsidRDefault="00D21657" w:rsidP="00D21657">
      <w:pPr>
        <w:autoSpaceDE w:val="0"/>
        <w:autoSpaceDN w:val="0"/>
        <w:adjustRightInd w:val="0"/>
        <w:jc w:val="center"/>
        <w:rPr>
          <w:rFonts w:eastAsia="Calibri"/>
          <w:b/>
          <w:bCs/>
          <w:color w:val="000000"/>
          <w:sz w:val="24"/>
          <w:szCs w:val="24"/>
          <w:lang w:eastAsia="en-US"/>
        </w:rPr>
      </w:pPr>
      <w:r w:rsidRPr="0039245C">
        <w:rPr>
          <w:rFonts w:eastAsia="Calibri"/>
          <w:b/>
          <w:bCs/>
          <w:color w:val="000000"/>
          <w:sz w:val="24"/>
          <w:szCs w:val="24"/>
          <w:lang w:eastAsia="en-US"/>
        </w:rPr>
        <w:t>§ 13</w:t>
      </w:r>
    </w:p>
    <w:p w14:paraId="436832FE" w14:textId="77777777" w:rsidR="00B20E69" w:rsidRPr="0039245C" w:rsidRDefault="00B20E69" w:rsidP="00B20E69">
      <w:pPr>
        <w:jc w:val="center"/>
        <w:rPr>
          <w:b/>
          <w:sz w:val="24"/>
          <w:szCs w:val="24"/>
        </w:rPr>
      </w:pPr>
      <w:r w:rsidRPr="0039245C">
        <w:rPr>
          <w:b/>
          <w:sz w:val="24"/>
          <w:szCs w:val="24"/>
        </w:rPr>
        <w:t>Administracja danych</w:t>
      </w:r>
    </w:p>
    <w:p w14:paraId="0F79019C" w14:textId="1F7FA7A1" w:rsidR="00B20E69" w:rsidRPr="0039245C" w:rsidRDefault="00595F50" w:rsidP="00B20E69">
      <w:pPr>
        <w:numPr>
          <w:ilvl w:val="0"/>
          <w:numId w:val="21"/>
        </w:numPr>
        <w:shd w:val="clear" w:color="auto" w:fill="FFFFFF"/>
        <w:tabs>
          <w:tab w:val="clear" w:pos="720"/>
        </w:tabs>
        <w:ind w:left="284" w:hanging="284"/>
        <w:jc w:val="both"/>
        <w:rPr>
          <w:sz w:val="24"/>
          <w:szCs w:val="24"/>
        </w:rPr>
      </w:pPr>
      <w:r w:rsidRPr="0039245C">
        <w:rPr>
          <w:b/>
          <w:sz w:val="24"/>
          <w:szCs w:val="24"/>
        </w:rPr>
        <w:t>Zamawiający</w:t>
      </w:r>
      <w:r w:rsidR="00B20E69" w:rsidRPr="0039245C">
        <w:rPr>
          <w:sz w:val="24"/>
          <w:szCs w:val="24"/>
        </w:rPr>
        <w:t xml:space="preserve"> jest administratorem danych osobowych w rozumieniu Rozporządzenia UE 2016/679 z dnia 27 kwietnia 2016 r.( dalej RODO) w odniesieniu do danych osobowych osób fizycznych reprezentujących Wykonawcę oraz osób fizycznych wskazanych przez </w:t>
      </w:r>
      <w:r w:rsidR="00B20E69" w:rsidRPr="0039245C">
        <w:rPr>
          <w:b/>
          <w:sz w:val="24"/>
          <w:szCs w:val="24"/>
        </w:rPr>
        <w:t>niego</w:t>
      </w:r>
      <w:r w:rsidR="00B20E69" w:rsidRPr="0039245C">
        <w:rPr>
          <w:sz w:val="24"/>
          <w:szCs w:val="24"/>
        </w:rPr>
        <w:t xml:space="preserve"> jako osoby do kontaktu/ koordynatorzy/ osoby odpowiedzialne za wykonanie niniejszej Umowy. Kontakt do administratora jest możliwy pod adresem e-mail sekretariat@igbmazovia.pl.</w:t>
      </w:r>
    </w:p>
    <w:p w14:paraId="303F6E27" w14:textId="2714827D" w:rsidR="00B20E69" w:rsidRPr="0039245C" w:rsidRDefault="00595F50" w:rsidP="00B20E69">
      <w:pPr>
        <w:numPr>
          <w:ilvl w:val="0"/>
          <w:numId w:val="21"/>
        </w:numPr>
        <w:shd w:val="clear" w:color="auto" w:fill="FFFFFF"/>
        <w:tabs>
          <w:tab w:val="clear" w:pos="720"/>
        </w:tabs>
        <w:ind w:left="284" w:hanging="284"/>
        <w:jc w:val="both"/>
        <w:rPr>
          <w:rStyle w:val="Hipercze"/>
          <w:sz w:val="24"/>
          <w:szCs w:val="24"/>
        </w:rPr>
      </w:pPr>
      <w:r w:rsidRPr="0039245C">
        <w:rPr>
          <w:b/>
          <w:sz w:val="24"/>
          <w:szCs w:val="24"/>
        </w:rPr>
        <w:t>Zamawiający</w:t>
      </w:r>
      <w:r w:rsidR="00B20E69" w:rsidRPr="0039245C">
        <w:rPr>
          <w:sz w:val="24"/>
          <w:szCs w:val="24"/>
        </w:rPr>
        <w:t xml:space="preserve"> oświadcza, że wyznaczyła inspektora ochrony danych, w sprawach związanych z przetwarzaniem danych osobowych można kontaktować się pod adresem poczty e-mail: </w:t>
      </w:r>
      <w:hyperlink r:id="rId6" w:history="1">
        <w:r w:rsidR="00B20E69" w:rsidRPr="0039245C">
          <w:rPr>
            <w:rStyle w:val="Hipercze"/>
            <w:bCs/>
            <w:sz w:val="24"/>
            <w:szCs w:val="24"/>
            <w:lang w:eastAsia="en-US"/>
          </w:rPr>
          <w:t>iod@ibgmazovia.pl</w:t>
        </w:r>
      </w:hyperlink>
    </w:p>
    <w:p w14:paraId="0C7195A7" w14:textId="752C4E2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00595F50" w:rsidRPr="0039245C">
        <w:rPr>
          <w:b/>
          <w:sz w:val="24"/>
          <w:szCs w:val="24"/>
        </w:rPr>
        <w:t>Zamawiający</w:t>
      </w:r>
      <w:r w:rsidRPr="0039245C">
        <w:rPr>
          <w:sz w:val="24"/>
          <w:szCs w:val="24"/>
        </w:rPr>
        <w:t xml:space="preserve"> ma obowiązek zarchiwizowania dokumentów. Dane będą przetwarzane jedynie w zakresie niezbędnym do wykonania zadań związanych z realizacją Umowy w kategorii danych identyfikacyjnych i kontaktowych.</w:t>
      </w:r>
    </w:p>
    <w:p w14:paraId="7C86E614"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Dane osobowe nie będą przekazywane podmiotom trzecim o ile nie będzie się to wiązało z koniecznością wynikającą z realizacji niniejszej umowy i przepisów prawa.</w:t>
      </w:r>
    </w:p>
    <w:p w14:paraId="5E35993B" w14:textId="3507A2EC"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00595F50" w:rsidRPr="0039245C">
        <w:rPr>
          <w:b/>
          <w:sz w:val="24"/>
          <w:szCs w:val="24"/>
        </w:rPr>
        <w:t>Zamawiający</w:t>
      </w:r>
      <w:r w:rsidR="00595F50" w:rsidRPr="0039245C">
        <w:rPr>
          <w:sz w:val="24"/>
          <w:szCs w:val="24"/>
        </w:rPr>
        <w:t xml:space="preserve"> </w:t>
      </w:r>
      <w:r w:rsidRPr="0039245C">
        <w:rPr>
          <w:sz w:val="24"/>
          <w:szCs w:val="24"/>
        </w:rPr>
        <w:t>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94451F6" w14:textId="659D5675"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9245C">
        <w:rPr>
          <w:sz w:val="24"/>
          <w:szCs w:val="24"/>
        </w:rPr>
        <w:t xml:space="preserve">praw, może zostać poproszona przez </w:t>
      </w:r>
      <w:r w:rsidR="00595F50" w:rsidRPr="0039245C">
        <w:rPr>
          <w:b/>
          <w:sz w:val="24"/>
          <w:szCs w:val="24"/>
        </w:rPr>
        <w:t xml:space="preserve"> Zamawiającego</w:t>
      </w:r>
      <w:r w:rsidRPr="0039245C">
        <w:rPr>
          <w:sz w:val="24"/>
          <w:szCs w:val="24"/>
        </w:rPr>
        <w:t xml:space="preserve"> o odpowiedź na kilka pytań związanych z jej danymi osobowymi, które umożliwią weryfikację jej tożsamości.</w:t>
      </w:r>
    </w:p>
    <w:p w14:paraId="5D0928ED"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Osobom, o których mowa w ust. 1, w związku z przetwarzaniem ich danych osobowych przysługuje prawo do wniesienia skargi do organu nadzorczego – Prezesa Urzędu Ochrony Danych Osobowych.</w:t>
      </w:r>
    </w:p>
    <w:p w14:paraId="4373EEC7" w14:textId="07B729CD"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00595F50" w:rsidRPr="0039245C">
        <w:rPr>
          <w:b/>
          <w:sz w:val="24"/>
          <w:szCs w:val="24"/>
        </w:rPr>
        <w:t>Zamawiającego</w:t>
      </w:r>
      <w:r w:rsidRPr="0039245C">
        <w:rPr>
          <w:sz w:val="24"/>
          <w:szCs w:val="24"/>
        </w:rPr>
        <w:t>) rozwiązaniem niniejszej Umowy z winy Wykonawcy. Wniesienie przez wyżej opisaną osobę fizyczną żądania jak w zdaniu drugim skutkuje obowiązkiem Wykonawcy niezwłocznego wskazania innej osoby w jej miejsce.</w:t>
      </w:r>
    </w:p>
    <w:p w14:paraId="519C2A99" w14:textId="77777777" w:rsidR="00B20E69" w:rsidRPr="0039245C" w:rsidRDefault="00B20E69" w:rsidP="00B20E69">
      <w:pPr>
        <w:numPr>
          <w:ilvl w:val="0"/>
          <w:numId w:val="21"/>
        </w:numPr>
        <w:shd w:val="clear" w:color="auto" w:fill="FFFFFF"/>
        <w:tabs>
          <w:tab w:val="clear" w:pos="720"/>
        </w:tabs>
        <w:ind w:left="284" w:hanging="284"/>
        <w:jc w:val="both"/>
        <w:rPr>
          <w:sz w:val="24"/>
          <w:szCs w:val="24"/>
        </w:rPr>
      </w:pPr>
      <w:r w:rsidRPr="0039245C">
        <w:rPr>
          <w:sz w:val="24"/>
          <w:szCs w:val="24"/>
        </w:rPr>
        <w:t>Wykonawca zobowiązuje się poinformować osoby fizyczne niepodpisujące niniejszej Umowy, o których mowa w ust. 1, o treści niniejszego paragrafu.</w:t>
      </w:r>
    </w:p>
    <w:p w14:paraId="6F1B1568" w14:textId="77777777" w:rsidR="00B20E69" w:rsidRPr="0039245C" w:rsidRDefault="00B20E69" w:rsidP="00B20E69">
      <w:pPr>
        <w:widowControl w:val="0"/>
        <w:snapToGrid w:val="0"/>
        <w:jc w:val="both"/>
        <w:rPr>
          <w:color w:val="000000"/>
          <w:sz w:val="24"/>
          <w:szCs w:val="24"/>
        </w:rPr>
      </w:pPr>
    </w:p>
    <w:p w14:paraId="6A5F7052" w14:textId="77777777" w:rsidR="00D21657" w:rsidRPr="0039245C" w:rsidRDefault="00D21657" w:rsidP="00D21657">
      <w:pPr>
        <w:shd w:val="clear" w:color="auto" w:fill="FFFFFF"/>
        <w:jc w:val="both"/>
        <w:rPr>
          <w:color w:val="222222"/>
          <w:sz w:val="24"/>
          <w:szCs w:val="24"/>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7DF7BDBA" w14:textId="77777777" w:rsidR="00B0420C" w:rsidRDefault="00B0420C"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A4B7A00"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9137F4">
        <w:rPr>
          <w:rFonts w:eastAsia="Calibri"/>
          <w:bCs/>
          <w:color w:val="000000"/>
          <w:sz w:val="22"/>
          <w:szCs w:val="22"/>
          <w:lang w:eastAsia="en-US"/>
        </w:rPr>
        <w:t>Dz. U. z 2022</w:t>
      </w:r>
      <w:r w:rsidR="00E14782" w:rsidRPr="00E14782">
        <w:rPr>
          <w:rFonts w:eastAsia="Calibri"/>
          <w:bCs/>
          <w:color w:val="000000"/>
          <w:sz w:val="22"/>
          <w:szCs w:val="22"/>
          <w:lang w:eastAsia="en-US"/>
        </w:rPr>
        <w:t xml:space="preserve"> r. poz.  </w:t>
      </w:r>
      <w:r w:rsidR="009137F4">
        <w:rPr>
          <w:rFonts w:eastAsia="Calibri"/>
          <w:bCs/>
          <w:color w:val="000000"/>
          <w:sz w:val="22"/>
          <w:szCs w:val="22"/>
          <w:lang w:eastAsia="en-US"/>
        </w:rPr>
        <w:t>893</w:t>
      </w:r>
      <w:r w:rsidRPr="004430D6">
        <w:rPr>
          <w:rFonts w:eastAsia="Calibri"/>
          <w:bCs/>
          <w:color w:val="000000"/>
          <w:sz w:val="22"/>
          <w:szCs w:val="22"/>
          <w:lang w:eastAsia="en-US"/>
        </w:rPr>
        <w:t xml:space="preserve"> /dużego przedsiębiorcy w rozumieniu art. 4 pkt. 6 ustawy z dnia 8 marca 2013r. o przeciwdziałaniu nadmiernym opóźnieniom w transakcjach handlowych (</w:t>
      </w:r>
      <w:r w:rsidR="009137F4">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1BE9623D" w:rsidR="003E116C" w:rsidRDefault="007641F6"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xml:space="preserve"> - </w:t>
      </w:r>
      <w:r>
        <w:rPr>
          <w:rFonts w:eastAsia="Calibri"/>
          <w:sz w:val="22"/>
          <w:szCs w:val="22"/>
          <w:lang w:eastAsia="en-US"/>
        </w:rPr>
        <w:t xml:space="preserve"> formularz cenowy</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24368ED8" w14:textId="77777777" w:rsidR="00B0420C" w:rsidRDefault="00B0420C" w:rsidP="003E116C"/>
    <w:p w14:paraId="5C12BB20" w14:textId="77777777" w:rsidR="00B0420C" w:rsidRDefault="00B0420C" w:rsidP="003E116C"/>
    <w:p w14:paraId="55A19F7A" w14:textId="77777777" w:rsidR="00B0420C" w:rsidRDefault="00B0420C" w:rsidP="003E116C"/>
    <w:p w14:paraId="346FF7E4" w14:textId="77777777" w:rsidR="00B0420C" w:rsidRDefault="00B0420C" w:rsidP="003E116C"/>
    <w:p w14:paraId="4685C73C" w14:textId="77777777" w:rsidR="00B0420C" w:rsidRDefault="00B0420C" w:rsidP="003E116C"/>
    <w:p w14:paraId="153927BC" w14:textId="77777777" w:rsidR="00B0420C" w:rsidRDefault="00B0420C" w:rsidP="003E116C"/>
    <w:p w14:paraId="4CB61018" w14:textId="77777777" w:rsidR="00B0420C" w:rsidRDefault="00B0420C" w:rsidP="003E116C"/>
    <w:p w14:paraId="552BCE8C" w14:textId="77777777" w:rsidR="00132EEE" w:rsidRDefault="00132EEE" w:rsidP="003E116C"/>
    <w:p w14:paraId="0C9FA216" w14:textId="0FAA35AF" w:rsidR="00132EEE" w:rsidRDefault="00132EEE" w:rsidP="003E116C">
      <w:r>
        <w:t xml:space="preserve">Załącznik nr 1  do umowy – formularz cenowy  dla 7 części </w:t>
      </w:r>
    </w:p>
    <w:tbl>
      <w:tblPr>
        <w:tblStyle w:val="Tabela-Siatka"/>
        <w:tblW w:w="9209" w:type="dxa"/>
        <w:tblLayout w:type="fixed"/>
        <w:tblLook w:val="04A0" w:firstRow="1" w:lastRow="0" w:firstColumn="1" w:lastColumn="0" w:noHBand="0" w:noVBand="1"/>
      </w:tblPr>
      <w:tblGrid>
        <w:gridCol w:w="816"/>
        <w:gridCol w:w="2294"/>
        <w:gridCol w:w="704"/>
        <w:gridCol w:w="859"/>
        <w:gridCol w:w="1134"/>
        <w:gridCol w:w="1134"/>
        <w:gridCol w:w="851"/>
        <w:gridCol w:w="1417"/>
      </w:tblGrid>
      <w:tr w:rsidR="00132EEE" w:rsidRPr="00132EEE" w14:paraId="378ACE42" w14:textId="77777777" w:rsidTr="006F2F84">
        <w:trPr>
          <w:trHeight w:val="915"/>
        </w:trPr>
        <w:tc>
          <w:tcPr>
            <w:tcW w:w="816" w:type="dxa"/>
            <w:noWrap/>
            <w:hideMark/>
          </w:tcPr>
          <w:p w14:paraId="1568BB90" w14:textId="6958DC41" w:rsidR="00132EEE" w:rsidRPr="00132EEE" w:rsidRDefault="00132EEE" w:rsidP="00132EEE">
            <w:pPr>
              <w:jc w:val="center"/>
              <w:rPr>
                <w:b/>
              </w:rPr>
            </w:pPr>
            <w:r w:rsidRPr="00132EEE">
              <w:rPr>
                <w:b/>
              </w:rPr>
              <w:t>Numer części</w:t>
            </w:r>
          </w:p>
        </w:tc>
        <w:tc>
          <w:tcPr>
            <w:tcW w:w="2294" w:type="dxa"/>
            <w:noWrap/>
            <w:hideMark/>
          </w:tcPr>
          <w:p w14:paraId="6DF03822" w14:textId="07861C41" w:rsidR="00132EEE" w:rsidRPr="00132EEE" w:rsidRDefault="00132EEE" w:rsidP="00132EEE">
            <w:pPr>
              <w:jc w:val="center"/>
              <w:rPr>
                <w:b/>
                <w:bCs/>
              </w:rPr>
            </w:pPr>
            <w:r w:rsidRPr="00132EEE">
              <w:rPr>
                <w:b/>
                <w:bCs/>
              </w:rPr>
              <w:t>Przedmiot umowy (nazwa asortymentu)</w:t>
            </w:r>
          </w:p>
        </w:tc>
        <w:tc>
          <w:tcPr>
            <w:tcW w:w="704" w:type="dxa"/>
            <w:noWrap/>
            <w:hideMark/>
          </w:tcPr>
          <w:p w14:paraId="33A672BA" w14:textId="77777777" w:rsidR="00132EEE" w:rsidRPr="00132EEE" w:rsidRDefault="00132EEE" w:rsidP="00132EEE">
            <w:pPr>
              <w:jc w:val="center"/>
              <w:rPr>
                <w:b/>
                <w:bCs/>
              </w:rPr>
            </w:pPr>
            <w:proofErr w:type="spellStart"/>
            <w:r w:rsidRPr="00132EEE">
              <w:rPr>
                <w:b/>
                <w:bCs/>
              </w:rPr>
              <w:t>jm</w:t>
            </w:r>
            <w:proofErr w:type="spellEnd"/>
          </w:p>
        </w:tc>
        <w:tc>
          <w:tcPr>
            <w:tcW w:w="859" w:type="dxa"/>
            <w:noWrap/>
            <w:hideMark/>
          </w:tcPr>
          <w:p w14:paraId="138C2583" w14:textId="77777777" w:rsidR="00132EEE" w:rsidRPr="00132EEE" w:rsidRDefault="00132EEE" w:rsidP="00132EEE">
            <w:pPr>
              <w:jc w:val="center"/>
              <w:rPr>
                <w:b/>
                <w:bCs/>
              </w:rPr>
            </w:pPr>
            <w:r w:rsidRPr="00132EEE">
              <w:rPr>
                <w:b/>
                <w:bCs/>
              </w:rPr>
              <w:t>ilość</w:t>
            </w:r>
          </w:p>
        </w:tc>
        <w:tc>
          <w:tcPr>
            <w:tcW w:w="1134" w:type="dxa"/>
            <w:hideMark/>
          </w:tcPr>
          <w:p w14:paraId="0287C133" w14:textId="0BFC1A39" w:rsidR="00132EEE" w:rsidRPr="00132EEE" w:rsidRDefault="0063589A" w:rsidP="00132EEE">
            <w:pPr>
              <w:jc w:val="center"/>
              <w:rPr>
                <w:b/>
                <w:bCs/>
              </w:rPr>
            </w:pPr>
            <w:r>
              <w:rPr>
                <w:b/>
                <w:bCs/>
              </w:rPr>
              <w:t>Cena jedn. netto</w:t>
            </w:r>
          </w:p>
        </w:tc>
        <w:tc>
          <w:tcPr>
            <w:tcW w:w="1134" w:type="dxa"/>
            <w:hideMark/>
          </w:tcPr>
          <w:p w14:paraId="2D0B7441" w14:textId="075F9031" w:rsidR="00132EEE" w:rsidRPr="00132EEE" w:rsidRDefault="0063589A" w:rsidP="00132EEE">
            <w:pPr>
              <w:jc w:val="center"/>
              <w:rPr>
                <w:b/>
                <w:bCs/>
              </w:rPr>
            </w:pPr>
            <w:r>
              <w:rPr>
                <w:b/>
                <w:bCs/>
              </w:rPr>
              <w:t>Wartość netto</w:t>
            </w:r>
          </w:p>
        </w:tc>
        <w:tc>
          <w:tcPr>
            <w:tcW w:w="851" w:type="dxa"/>
            <w:hideMark/>
          </w:tcPr>
          <w:p w14:paraId="2B77BA55" w14:textId="0518F38B" w:rsidR="00132EEE" w:rsidRPr="00132EEE" w:rsidRDefault="00132EEE" w:rsidP="00132EEE">
            <w:pPr>
              <w:jc w:val="center"/>
              <w:rPr>
                <w:b/>
                <w:bCs/>
              </w:rPr>
            </w:pPr>
            <w:r w:rsidRPr="00132EEE">
              <w:rPr>
                <w:b/>
                <w:bCs/>
              </w:rPr>
              <w:t>VAT</w:t>
            </w:r>
            <w:r w:rsidR="006F2F84">
              <w:rPr>
                <w:b/>
                <w:bCs/>
              </w:rPr>
              <w:t xml:space="preserve"> w %</w:t>
            </w:r>
          </w:p>
        </w:tc>
        <w:tc>
          <w:tcPr>
            <w:tcW w:w="1417" w:type="dxa"/>
            <w:hideMark/>
          </w:tcPr>
          <w:p w14:paraId="0919A2E5" w14:textId="44EBDF38" w:rsidR="00132EEE" w:rsidRPr="00132EEE" w:rsidRDefault="0063589A" w:rsidP="00132EEE">
            <w:pPr>
              <w:jc w:val="center"/>
              <w:rPr>
                <w:b/>
                <w:bCs/>
              </w:rPr>
            </w:pPr>
            <w:r>
              <w:rPr>
                <w:b/>
                <w:bCs/>
              </w:rPr>
              <w:t>Wartość brutto</w:t>
            </w:r>
          </w:p>
        </w:tc>
      </w:tr>
      <w:tr w:rsidR="00FD7EBD" w:rsidRPr="00132EEE" w14:paraId="5F8FCBA0" w14:textId="77777777" w:rsidTr="00520BD3">
        <w:trPr>
          <w:trHeight w:val="147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317941D" w14:textId="398C5DBB" w:rsidR="00FD7EBD" w:rsidRPr="00132EEE" w:rsidRDefault="00FD7EBD" w:rsidP="00FD7EBD">
            <w:r>
              <w:rPr>
                <w:rFonts w:ascii="Calibri" w:hAnsi="Calibri"/>
                <w:color w:val="000000"/>
                <w:sz w:val="22"/>
                <w:szCs w:val="22"/>
              </w:rPr>
              <w:t>1</w:t>
            </w:r>
          </w:p>
        </w:tc>
        <w:tc>
          <w:tcPr>
            <w:tcW w:w="2294" w:type="dxa"/>
            <w:tcBorders>
              <w:top w:val="nil"/>
              <w:left w:val="nil"/>
              <w:bottom w:val="single" w:sz="4" w:space="0" w:color="auto"/>
              <w:right w:val="single" w:sz="4" w:space="0" w:color="auto"/>
            </w:tcBorders>
            <w:shd w:val="clear" w:color="auto" w:fill="auto"/>
            <w:vAlign w:val="center"/>
            <w:hideMark/>
          </w:tcPr>
          <w:p w14:paraId="1A9A0A15" w14:textId="3E4EB657" w:rsidR="00FD7EBD" w:rsidRPr="00132EEE" w:rsidRDefault="00FD7EBD" w:rsidP="00FD7EBD">
            <w:proofErr w:type="spellStart"/>
            <w:r>
              <w:rPr>
                <w:rFonts w:ascii="Calibri" w:hAnsi="Calibri"/>
                <w:color w:val="000000"/>
                <w:sz w:val="18"/>
                <w:szCs w:val="18"/>
              </w:rPr>
              <w:t>Sodium</w:t>
            </w:r>
            <w:proofErr w:type="spellEnd"/>
            <w:r>
              <w:rPr>
                <w:rFonts w:ascii="Calibri" w:hAnsi="Calibri"/>
                <w:color w:val="000000"/>
                <w:sz w:val="18"/>
                <w:szCs w:val="18"/>
              </w:rPr>
              <w:t xml:space="preserve"> </w:t>
            </w:r>
            <w:proofErr w:type="spellStart"/>
            <w:r>
              <w:rPr>
                <w:rFonts w:ascii="Calibri" w:hAnsi="Calibri"/>
                <w:color w:val="000000"/>
                <w:sz w:val="18"/>
                <w:szCs w:val="18"/>
              </w:rPr>
              <w:t>Laureth</w:t>
            </w:r>
            <w:proofErr w:type="spellEnd"/>
            <w:r>
              <w:rPr>
                <w:rFonts w:ascii="Calibri" w:hAnsi="Calibri"/>
                <w:color w:val="000000"/>
                <w:sz w:val="18"/>
                <w:szCs w:val="18"/>
              </w:rPr>
              <w:t xml:space="preserve"> </w:t>
            </w:r>
            <w:proofErr w:type="spellStart"/>
            <w:r>
              <w:rPr>
                <w:rFonts w:ascii="Calibri" w:hAnsi="Calibri"/>
                <w:color w:val="000000"/>
                <w:sz w:val="18"/>
                <w:szCs w:val="18"/>
              </w:rPr>
              <w:t>Sulfate</w:t>
            </w:r>
            <w:proofErr w:type="spellEnd"/>
            <w:r>
              <w:rPr>
                <w:rFonts w:ascii="Calibri" w:hAnsi="Calibri"/>
                <w:color w:val="000000"/>
                <w:sz w:val="18"/>
                <w:szCs w:val="18"/>
              </w:rPr>
              <w:t xml:space="preserve"> (Siarczan sodowo – laurowy SLES).  Nazwa chemiczna: Alkohole C12-C14, </w:t>
            </w:r>
            <w:proofErr w:type="spellStart"/>
            <w:r>
              <w:rPr>
                <w:rFonts w:ascii="Calibri" w:hAnsi="Calibri"/>
                <w:color w:val="000000"/>
                <w:sz w:val="18"/>
                <w:szCs w:val="18"/>
              </w:rPr>
              <w:t>etoksylowane</w:t>
            </w:r>
            <w:proofErr w:type="spellEnd"/>
            <w:r>
              <w:rPr>
                <w:rFonts w:ascii="Calibri" w:hAnsi="Calibri"/>
                <w:color w:val="000000"/>
                <w:sz w:val="18"/>
                <w:szCs w:val="18"/>
              </w:rPr>
              <w:t xml:space="preserve">(1-2,5 TE), siarczanowane, sole sodowe. Klarowna ciecz, bez zapachu. Zawartość substancji aktywnej 25-26%. Chlorki poniżej 0,1%. </w:t>
            </w:r>
            <w:proofErr w:type="spellStart"/>
            <w:r>
              <w:rPr>
                <w:rFonts w:ascii="Calibri" w:hAnsi="Calibri"/>
                <w:color w:val="000000"/>
                <w:sz w:val="18"/>
                <w:szCs w:val="18"/>
              </w:rPr>
              <w:t>Paletopojemnik</w:t>
            </w:r>
            <w:proofErr w:type="spellEnd"/>
            <w:r>
              <w:rPr>
                <w:rFonts w:ascii="Calibri" w:hAnsi="Calibri"/>
                <w:color w:val="000000"/>
                <w:sz w:val="18"/>
                <w:szCs w:val="18"/>
              </w:rPr>
              <w:t xml:space="preserve"> 1000 kg</w:t>
            </w:r>
          </w:p>
        </w:tc>
        <w:tc>
          <w:tcPr>
            <w:tcW w:w="704" w:type="dxa"/>
            <w:tcBorders>
              <w:top w:val="nil"/>
              <w:left w:val="nil"/>
              <w:bottom w:val="single" w:sz="4" w:space="0" w:color="auto"/>
              <w:right w:val="single" w:sz="4" w:space="0" w:color="auto"/>
            </w:tcBorders>
            <w:shd w:val="clear" w:color="auto" w:fill="auto"/>
            <w:noWrap/>
            <w:vAlign w:val="center"/>
            <w:hideMark/>
          </w:tcPr>
          <w:p w14:paraId="22819089" w14:textId="1F2E2F65" w:rsidR="00FD7EBD" w:rsidRPr="00132EEE" w:rsidRDefault="00FD7EBD" w:rsidP="00FD7EBD">
            <w:r>
              <w:rPr>
                <w:rFonts w:ascii="Calibri" w:hAnsi="Calibri"/>
                <w:color w:val="000000"/>
              </w:rPr>
              <w:t>kg</w:t>
            </w:r>
          </w:p>
        </w:tc>
        <w:tc>
          <w:tcPr>
            <w:tcW w:w="859" w:type="dxa"/>
            <w:tcBorders>
              <w:top w:val="nil"/>
              <w:left w:val="nil"/>
              <w:bottom w:val="single" w:sz="4" w:space="0" w:color="auto"/>
              <w:right w:val="single" w:sz="4" w:space="0" w:color="auto"/>
            </w:tcBorders>
            <w:shd w:val="clear" w:color="auto" w:fill="auto"/>
            <w:noWrap/>
            <w:vAlign w:val="center"/>
            <w:hideMark/>
          </w:tcPr>
          <w:p w14:paraId="5F92A77E" w14:textId="3F8A3303" w:rsidR="00FD7EBD" w:rsidRPr="00132EEE" w:rsidRDefault="00FD7EBD" w:rsidP="00FD7EBD">
            <w:r>
              <w:rPr>
                <w:rFonts w:ascii="Calibri" w:hAnsi="Calibri"/>
                <w:color w:val="000000"/>
              </w:rPr>
              <w:t>4 000</w:t>
            </w:r>
          </w:p>
        </w:tc>
        <w:tc>
          <w:tcPr>
            <w:tcW w:w="1134" w:type="dxa"/>
            <w:noWrap/>
          </w:tcPr>
          <w:p w14:paraId="183070CE" w14:textId="653318BC" w:rsidR="00FD7EBD" w:rsidRPr="00132EEE" w:rsidRDefault="00FD7EBD" w:rsidP="00FD7EBD"/>
        </w:tc>
        <w:tc>
          <w:tcPr>
            <w:tcW w:w="1134" w:type="dxa"/>
            <w:noWrap/>
          </w:tcPr>
          <w:p w14:paraId="1564551F" w14:textId="04DE74CA" w:rsidR="00FD7EBD" w:rsidRPr="00132EEE" w:rsidRDefault="00FD7EBD" w:rsidP="00FD7EBD"/>
        </w:tc>
        <w:tc>
          <w:tcPr>
            <w:tcW w:w="851" w:type="dxa"/>
            <w:noWrap/>
          </w:tcPr>
          <w:p w14:paraId="45224846" w14:textId="47E70603" w:rsidR="00FD7EBD" w:rsidRPr="00132EEE" w:rsidRDefault="00FD7EBD" w:rsidP="00FD7EBD"/>
        </w:tc>
        <w:tc>
          <w:tcPr>
            <w:tcW w:w="1417" w:type="dxa"/>
            <w:noWrap/>
          </w:tcPr>
          <w:p w14:paraId="38B3AA0F" w14:textId="1106AB51" w:rsidR="00FD7EBD" w:rsidRPr="00132EEE" w:rsidRDefault="00FD7EBD" w:rsidP="00FD7EBD"/>
        </w:tc>
      </w:tr>
      <w:tr w:rsidR="00FD7EBD" w:rsidRPr="00132EEE" w14:paraId="34CFCFE8" w14:textId="77777777" w:rsidTr="00520BD3">
        <w:trPr>
          <w:trHeight w:val="1185"/>
        </w:trPr>
        <w:tc>
          <w:tcPr>
            <w:tcW w:w="816" w:type="dxa"/>
            <w:tcBorders>
              <w:top w:val="nil"/>
              <w:left w:val="single" w:sz="4" w:space="0" w:color="000000"/>
              <w:bottom w:val="nil"/>
              <w:right w:val="single" w:sz="4" w:space="0" w:color="000000"/>
            </w:tcBorders>
            <w:shd w:val="clear" w:color="auto" w:fill="auto"/>
            <w:noWrap/>
            <w:vAlign w:val="center"/>
            <w:hideMark/>
          </w:tcPr>
          <w:p w14:paraId="2A83B296" w14:textId="5EE974FA" w:rsidR="00FD7EBD" w:rsidRPr="00132EEE" w:rsidRDefault="00FD7EBD" w:rsidP="00FD7EBD">
            <w:r>
              <w:rPr>
                <w:rFonts w:ascii="Calibri" w:hAnsi="Calibri"/>
                <w:color w:val="000000"/>
                <w:sz w:val="22"/>
                <w:szCs w:val="22"/>
              </w:rPr>
              <w:t>2</w:t>
            </w:r>
          </w:p>
        </w:tc>
        <w:tc>
          <w:tcPr>
            <w:tcW w:w="2294" w:type="dxa"/>
            <w:tcBorders>
              <w:top w:val="single" w:sz="4" w:space="0" w:color="000000"/>
              <w:left w:val="nil"/>
              <w:bottom w:val="single" w:sz="4" w:space="0" w:color="000000"/>
              <w:right w:val="single" w:sz="4" w:space="0" w:color="000000"/>
            </w:tcBorders>
            <w:shd w:val="clear" w:color="auto" w:fill="auto"/>
            <w:vAlign w:val="center"/>
            <w:hideMark/>
          </w:tcPr>
          <w:p w14:paraId="1966E8D4" w14:textId="64E91344" w:rsidR="00FD7EBD" w:rsidRPr="00132EEE" w:rsidRDefault="00FD7EBD" w:rsidP="00FD7EBD">
            <w:r>
              <w:rPr>
                <w:rFonts w:ascii="Calibri" w:hAnsi="Calibri"/>
                <w:sz w:val="18"/>
                <w:szCs w:val="18"/>
              </w:rPr>
              <w:t>WĘGLAN SODU – soda kalcynowana lekka, biały lub prawie biały  higroskopijny proszek. Przeznaczenie – produkcja proszków. Opakowanie – worki 25kg.</w:t>
            </w:r>
          </w:p>
        </w:tc>
        <w:tc>
          <w:tcPr>
            <w:tcW w:w="704" w:type="dxa"/>
            <w:tcBorders>
              <w:top w:val="nil"/>
              <w:left w:val="nil"/>
              <w:bottom w:val="single" w:sz="4" w:space="0" w:color="000000"/>
              <w:right w:val="single" w:sz="4" w:space="0" w:color="000000"/>
            </w:tcBorders>
            <w:shd w:val="clear" w:color="auto" w:fill="auto"/>
            <w:noWrap/>
            <w:vAlign w:val="center"/>
            <w:hideMark/>
          </w:tcPr>
          <w:p w14:paraId="1BFED9AB" w14:textId="5ABDDF40" w:rsidR="00FD7EBD" w:rsidRPr="00132EEE" w:rsidRDefault="00FD7EBD" w:rsidP="00FD7EBD">
            <w:r>
              <w:rPr>
                <w:rFonts w:ascii="Calibri" w:hAnsi="Calibri"/>
                <w:color w:val="000000"/>
              </w:rPr>
              <w:t>kg</w:t>
            </w:r>
          </w:p>
        </w:tc>
        <w:tc>
          <w:tcPr>
            <w:tcW w:w="859" w:type="dxa"/>
            <w:tcBorders>
              <w:top w:val="nil"/>
              <w:left w:val="nil"/>
              <w:bottom w:val="single" w:sz="4" w:space="0" w:color="000000"/>
              <w:right w:val="single" w:sz="4" w:space="0" w:color="000000"/>
            </w:tcBorders>
            <w:shd w:val="clear" w:color="auto" w:fill="auto"/>
            <w:noWrap/>
            <w:vAlign w:val="center"/>
            <w:hideMark/>
          </w:tcPr>
          <w:p w14:paraId="1AF147FF" w14:textId="1743CA8B" w:rsidR="00FD7EBD" w:rsidRPr="00132EEE" w:rsidRDefault="00FD7EBD" w:rsidP="00FD7EBD">
            <w:r>
              <w:rPr>
                <w:rFonts w:ascii="Calibri" w:hAnsi="Calibri"/>
                <w:color w:val="000000"/>
              </w:rPr>
              <w:t>7 000</w:t>
            </w:r>
          </w:p>
        </w:tc>
        <w:tc>
          <w:tcPr>
            <w:tcW w:w="1134" w:type="dxa"/>
            <w:noWrap/>
          </w:tcPr>
          <w:p w14:paraId="3563B111" w14:textId="0CA2DCC2" w:rsidR="00FD7EBD" w:rsidRPr="00132EEE" w:rsidRDefault="00FD7EBD" w:rsidP="00FD7EBD"/>
        </w:tc>
        <w:tc>
          <w:tcPr>
            <w:tcW w:w="1134" w:type="dxa"/>
            <w:noWrap/>
          </w:tcPr>
          <w:p w14:paraId="4C8CB231" w14:textId="22A770E6" w:rsidR="00FD7EBD" w:rsidRPr="00132EEE" w:rsidRDefault="00FD7EBD" w:rsidP="00FD7EBD"/>
        </w:tc>
        <w:tc>
          <w:tcPr>
            <w:tcW w:w="851" w:type="dxa"/>
            <w:noWrap/>
          </w:tcPr>
          <w:p w14:paraId="4C9CD38C" w14:textId="2A47E1A0" w:rsidR="00FD7EBD" w:rsidRPr="00132EEE" w:rsidRDefault="00FD7EBD" w:rsidP="00FD7EBD"/>
        </w:tc>
        <w:tc>
          <w:tcPr>
            <w:tcW w:w="1417" w:type="dxa"/>
            <w:noWrap/>
          </w:tcPr>
          <w:p w14:paraId="58CC6872" w14:textId="7448DCB4" w:rsidR="00FD7EBD" w:rsidRPr="00132EEE" w:rsidRDefault="00FD7EBD" w:rsidP="00FD7EBD"/>
        </w:tc>
      </w:tr>
      <w:tr w:rsidR="00FD7EBD" w:rsidRPr="00132EEE" w14:paraId="5DFE61E3" w14:textId="77777777" w:rsidTr="00520BD3">
        <w:trPr>
          <w:trHeight w:val="1575"/>
        </w:trPr>
        <w:tc>
          <w:tcPr>
            <w:tcW w:w="816" w:type="dxa"/>
            <w:tcBorders>
              <w:top w:val="single" w:sz="4" w:space="0" w:color="000000"/>
              <w:left w:val="single" w:sz="4" w:space="0" w:color="000000"/>
              <w:bottom w:val="nil"/>
              <w:right w:val="single" w:sz="4" w:space="0" w:color="000000"/>
            </w:tcBorders>
            <w:shd w:val="clear" w:color="auto" w:fill="auto"/>
            <w:noWrap/>
            <w:vAlign w:val="center"/>
            <w:hideMark/>
          </w:tcPr>
          <w:p w14:paraId="2367BFBD" w14:textId="799FE647" w:rsidR="00FD7EBD" w:rsidRPr="00132EEE" w:rsidRDefault="00FD7EBD" w:rsidP="00FD7EBD">
            <w:r>
              <w:rPr>
                <w:rFonts w:ascii="Calibri" w:hAnsi="Calibri"/>
                <w:color w:val="000000"/>
                <w:sz w:val="22"/>
                <w:szCs w:val="22"/>
              </w:rPr>
              <w:t>3</w:t>
            </w:r>
          </w:p>
        </w:tc>
        <w:tc>
          <w:tcPr>
            <w:tcW w:w="2294" w:type="dxa"/>
            <w:tcBorders>
              <w:top w:val="single" w:sz="4" w:space="0" w:color="000000"/>
              <w:left w:val="nil"/>
              <w:bottom w:val="single" w:sz="4" w:space="0" w:color="000000"/>
              <w:right w:val="single" w:sz="4" w:space="0" w:color="000000"/>
            </w:tcBorders>
            <w:shd w:val="clear" w:color="auto" w:fill="auto"/>
            <w:vAlign w:val="center"/>
            <w:hideMark/>
          </w:tcPr>
          <w:p w14:paraId="5E3381F0" w14:textId="18058F10" w:rsidR="00FD7EBD" w:rsidRPr="00132EEE" w:rsidRDefault="00FD7EBD" w:rsidP="00FD7EBD">
            <w:r>
              <w:rPr>
                <w:rFonts w:ascii="Calibri" w:hAnsi="Calibri"/>
                <w:sz w:val="18"/>
                <w:szCs w:val="18"/>
              </w:rPr>
              <w:t xml:space="preserve">SÓL PRZEMYSŁOWA – chlorek sodu NaCl, wymagana  min 90% H2O w 105◦C, wymagana maks. 3% PH, 1% roztwór wodny 5-8 substancja przeciwzbrylająca </w:t>
            </w:r>
            <w:r>
              <w:rPr>
                <w:rFonts w:ascii="Calibri" w:hAnsi="Calibri"/>
                <w:sz w:val="18"/>
                <w:szCs w:val="18"/>
              </w:rPr>
              <w:br/>
              <w:t>( żelazocyjanek potasu)  min 20mg/kg.</w:t>
            </w:r>
            <w:r>
              <w:rPr>
                <w:rFonts w:ascii="Calibri" w:hAnsi="Calibri"/>
                <w:sz w:val="18"/>
                <w:szCs w:val="18"/>
              </w:rPr>
              <w:br/>
              <w:t>Opakowanie: worki 25 kg</w:t>
            </w:r>
            <w:r>
              <w:rPr>
                <w:rFonts w:ascii="Calibri" w:hAnsi="Calibri"/>
                <w:sz w:val="18"/>
                <w:szCs w:val="18"/>
              </w:rPr>
              <w:br/>
            </w:r>
          </w:p>
        </w:tc>
        <w:tc>
          <w:tcPr>
            <w:tcW w:w="704" w:type="dxa"/>
            <w:tcBorders>
              <w:top w:val="nil"/>
              <w:left w:val="nil"/>
              <w:bottom w:val="single" w:sz="4" w:space="0" w:color="000000"/>
              <w:right w:val="single" w:sz="4" w:space="0" w:color="000000"/>
            </w:tcBorders>
            <w:shd w:val="clear" w:color="auto" w:fill="auto"/>
            <w:noWrap/>
            <w:vAlign w:val="center"/>
            <w:hideMark/>
          </w:tcPr>
          <w:p w14:paraId="790CAA94" w14:textId="4EFB38A6" w:rsidR="00FD7EBD" w:rsidRPr="00132EEE" w:rsidRDefault="00FD7EBD" w:rsidP="00FD7EBD">
            <w:r>
              <w:rPr>
                <w:rFonts w:ascii="Calibri" w:hAnsi="Calibri"/>
                <w:color w:val="000000"/>
              </w:rPr>
              <w:t>kg</w:t>
            </w:r>
          </w:p>
        </w:tc>
        <w:tc>
          <w:tcPr>
            <w:tcW w:w="859" w:type="dxa"/>
            <w:tcBorders>
              <w:top w:val="nil"/>
              <w:left w:val="nil"/>
              <w:bottom w:val="single" w:sz="4" w:space="0" w:color="000000"/>
              <w:right w:val="single" w:sz="4" w:space="0" w:color="000000"/>
            </w:tcBorders>
            <w:shd w:val="clear" w:color="auto" w:fill="auto"/>
            <w:noWrap/>
            <w:vAlign w:val="center"/>
            <w:hideMark/>
          </w:tcPr>
          <w:p w14:paraId="75F8DA29" w14:textId="58669FAB" w:rsidR="00FD7EBD" w:rsidRPr="00132EEE" w:rsidRDefault="00FD7EBD" w:rsidP="00FD7EBD">
            <w:r>
              <w:rPr>
                <w:rFonts w:ascii="Calibri" w:hAnsi="Calibri"/>
                <w:color w:val="000000"/>
              </w:rPr>
              <w:t>15 000</w:t>
            </w:r>
          </w:p>
        </w:tc>
        <w:tc>
          <w:tcPr>
            <w:tcW w:w="1134" w:type="dxa"/>
            <w:noWrap/>
          </w:tcPr>
          <w:p w14:paraId="66D65466" w14:textId="34DCB1CB" w:rsidR="00FD7EBD" w:rsidRPr="00132EEE" w:rsidRDefault="00FD7EBD" w:rsidP="00FD7EBD"/>
        </w:tc>
        <w:tc>
          <w:tcPr>
            <w:tcW w:w="1134" w:type="dxa"/>
            <w:noWrap/>
          </w:tcPr>
          <w:p w14:paraId="4770B07C" w14:textId="03ECF76D" w:rsidR="00FD7EBD" w:rsidRPr="00132EEE" w:rsidRDefault="00FD7EBD" w:rsidP="00FD7EBD"/>
        </w:tc>
        <w:tc>
          <w:tcPr>
            <w:tcW w:w="851" w:type="dxa"/>
            <w:noWrap/>
          </w:tcPr>
          <w:p w14:paraId="492F604F" w14:textId="78B2F1A3" w:rsidR="00FD7EBD" w:rsidRPr="00132EEE" w:rsidRDefault="00FD7EBD" w:rsidP="00FD7EBD"/>
        </w:tc>
        <w:tc>
          <w:tcPr>
            <w:tcW w:w="1417" w:type="dxa"/>
            <w:noWrap/>
          </w:tcPr>
          <w:p w14:paraId="2EAA8007" w14:textId="5EFBB09A" w:rsidR="00FD7EBD" w:rsidRPr="00132EEE" w:rsidRDefault="00FD7EBD" w:rsidP="00FD7EBD"/>
        </w:tc>
      </w:tr>
      <w:tr w:rsidR="00FD7EBD" w:rsidRPr="00132EEE" w14:paraId="2733E215" w14:textId="77777777" w:rsidTr="00520BD3">
        <w:trPr>
          <w:trHeight w:val="2955"/>
        </w:trPr>
        <w:tc>
          <w:tcPr>
            <w:tcW w:w="816" w:type="dxa"/>
            <w:tcBorders>
              <w:top w:val="single" w:sz="4" w:space="0" w:color="000000"/>
              <w:left w:val="single" w:sz="4" w:space="0" w:color="000000"/>
              <w:bottom w:val="nil"/>
              <w:right w:val="single" w:sz="4" w:space="0" w:color="000000"/>
            </w:tcBorders>
            <w:shd w:val="clear" w:color="auto" w:fill="auto"/>
            <w:noWrap/>
            <w:vAlign w:val="center"/>
            <w:hideMark/>
          </w:tcPr>
          <w:p w14:paraId="02FE1709" w14:textId="7C620C2A" w:rsidR="00FD7EBD" w:rsidRPr="00132EEE" w:rsidRDefault="00FD7EBD" w:rsidP="00FD7EBD">
            <w:r>
              <w:rPr>
                <w:rFonts w:ascii="Calibri" w:hAnsi="Calibri"/>
                <w:color w:val="000000"/>
                <w:sz w:val="22"/>
                <w:szCs w:val="22"/>
              </w:rPr>
              <w:t>4</w:t>
            </w:r>
          </w:p>
        </w:tc>
        <w:tc>
          <w:tcPr>
            <w:tcW w:w="2294" w:type="dxa"/>
            <w:tcBorders>
              <w:top w:val="single" w:sz="4" w:space="0" w:color="000000"/>
              <w:left w:val="nil"/>
              <w:bottom w:val="single" w:sz="4" w:space="0" w:color="000000"/>
              <w:right w:val="single" w:sz="4" w:space="0" w:color="000000"/>
            </w:tcBorders>
            <w:shd w:val="clear" w:color="auto" w:fill="auto"/>
            <w:vAlign w:val="center"/>
            <w:hideMark/>
          </w:tcPr>
          <w:p w14:paraId="68C67861" w14:textId="4C0383AB" w:rsidR="00FD7EBD" w:rsidRPr="00132EEE" w:rsidRDefault="00FD7EBD" w:rsidP="00FD7EBD">
            <w:r>
              <w:rPr>
                <w:rFonts w:ascii="Calibri" w:hAnsi="Calibri"/>
                <w:color w:val="000000"/>
              </w:rPr>
              <w:t xml:space="preserve">Naturalny węglan wapniowo-magnezowy .Charakterystyka: wysoka czystość chemiczna i fizyczna, głęboki stopień rozdrobnienia, wysoka białość. Skład chemiczny: zawartość węglanów 96%  ±  2%, </w:t>
            </w:r>
            <w:proofErr w:type="spellStart"/>
            <w:r>
              <w:rPr>
                <w:rFonts w:ascii="Calibri" w:hAnsi="Calibri"/>
                <w:color w:val="000000"/>
              </w:rPr>
              <w:t>MgO</w:t>
            </w:r>
            <w:proofErr w:type="spellEnd"/>
            <w:r>
              <w:rPr>
                <w:rFonts w:ascii="Calibri" w:hAnsi="Calibri"/>
                <w:color w:val="000000"/>
              </w:rPr>
              <w:t xml:space="preserve"> 20,5% ± 1,5%, </w:t>
            </w:r>
            <w:proofErr w:type="spellStart"/>
            <w:r>
              <w:rPr>
                <w:rFonts w:ascii="Calibri" w:hAnsi="Calibri"/>
                <w:color w:val="000000"/>
              </w:rPr>
              <w:t>CaO</w:t>
            </w:r>
            <w:proofErr w:type="spellEnd"/>
            <w:r>
              <w:rPr>
                <w:rFonts w:ascii="Calibri" w:hAnsi="Calibri"/>
                <w:color w:val="000000"/>
              </w:rPr>
              <w:t xml:space="preserve"> 30%  ± 2%, Fe2O3 max.0,3%. Granulacja poniżej 400µm, min 99,9%. Opakowanie: Big -</w:t>
            </w:r>
            <w:proofErr w:type="spellStart"/>
            <w:r>
              <w:rPr>
                <w:rFonts w:ascii="Calibri" w:hAnsi="Calibri"/>
                <w:color w:val="000000"/>
              </w:rPr>
              <w:t>bag</w:t>
            </w:r>
            <w:proofErr w:type="spellEnd"/>
            <w:r>
              <w:rPr>
                <w:rFonts w:ascii="Calibri" w:hAnsi="Calibri"/>
                <w:color w:val="000000"/>
              </w:rPr>
              <w:t xml:space="preserve"> 1000 kg</w:t>
            </w:r>
          </w:p>
        </w:tc>
        <w:tc>
          <w:tcPr>
            <w:tcW w:w="704" w:type="dxa"/>
            <w:tcBorders>
              <w:top w:val="nil"/>
              <w:left w:val="nil"/>
              <w:bottom w:val="single" w:sz="4" w:space="0" w:color="000000"/>
              <w:right w:val="single" w:sz="4" w:space="0" w:color="000000"/>
            </w:tcBorders>
            <w:shd w:val="clear" w:color="auto" w:fill="auto"/>
            <w:noWrap/>
            <w:vAlign w:val="center"/>
            <w:hideMark/>
          </w:tcPr>
          <w:p w14:paraId="2104FF5A" w14:textId="3277D515" w:rsidR="00FD7EBD" w:rsidRPr="00132EEE" w:rsidRDefault="00FD7EBD" w:rsidP="00FD7EBD">
            <w:r>
              <w:rPr>
                <w:rFonts w:ascii="Calibri" w:hAnsi="Calibri"/>
                <w:color w:val="000000"/>
              </w:rPr>
              <w:t>kg</w:t>
            </w:r>
          </w:p>
        </w:tc>
        <w:tc>
          <w:tcPr>
            <w:tcW w:w="859" w:type="dxa"/>
            <w:tcBorders>
              <w:top w:val="nil"/>
              <w:left w:val="nil"/>
              <w:bottom w:val="single" w:sz="4" w:space="0" w:color="000000"/>
              <w:right w:val="single" w:sz="4" w:space="0" w:color="000000"/>
            </w:tcBorders>
            <w:shd w:val="clear" w:color="auto" w:fill="auto"/>
            <w:noWrap/>
            <w:vAlign w:val="center"/>
            <w:hideMark/>
          </w:tcPr>
          <w:p w14:paraId="57C4EF91" w14:textId="517EE004" w:rsidR="00FD7EBD" w:rsidRPr="00132EEE" w:rsidRDefault="00FD7EBD" w:rsidP="00FD7EBD">
            <w:r>
              <w:rPr>
                <w:rFonts w:ascii="Calibri" w:hAnsi="Calibri"/>
                <w:color w:val="000000"/>
              </w:rPr>
              <w:t>10 000</w:t>
            </w:r>
          </w:p>
        </w:tc>
        <w:tc>
          <w:tcPr>
            <w:tcW w:w="1134" w:type="dxa"/>
            <w:noWrap/>
          </w:tcPr>
          <w:p w14:paraId="39277FA4" w14:textId="1E06C12D" w:rsidR="00FD7EBD" w:rsidRPr="00132EEE" w:rsidRDefault="00FD7EBD" w:rsidP="00FD7EBD"/>
        </w:tc>
        <w:tc>
          <w:tcPr>
            <w:tcW w:w="1134" w:type="dxa"/>
            <w:noWrap/>
          </w:tcPr>
          <w:p w14:paraId="3B589AFC" w14:textId="3298767F" w:rsidR="00FD7EBD" w:rsidRPr="00132EEE" w:rsidRDefault="00FD7EBD" w:rsidP="00FD7EBD"/>
        </w:tc>
        <w:tc>
          <w:tcPr>
            <w:tcW w:w="851" w:type="dxa"/>
            <w:noWrap/>
          </w:tcPr>
          <w:p w14:paraId="513E784F" w14:textId="61FC9978" w:rsidR="00FD7EBD" w:rsidRPr="00132EEE" w:rsidRDefault="00FD7EBD" w:rsidP="00FD7EBD"/>
        </w:tc>
        <w:tc>
          <w:tcPr>
            <w:tcW w:w="1417" w:type="dxa"/>
            <w:noWrap/>
          </w:tcPr>
          <w:p w14:paraId="0CF4D249" w14:textId="119D7E22" w:rsidR="00FD7EBD" w:rsidRPr="00132EEE" w:rsidRDefault="00FD7EBD" w:rsidP="00FD7EBD"/>
        </w:tc>
      </w:tr>
      <w:tr w:rsidR="00FD7EBD" w:rsidRPr="00132EEE" w14:paraId="4DFEE9BA" w14:textId="77777777" w:rsidTr="00520BD3">
        <w:trPr>
          <w:trHeight w:val="1545"/>
        </w:trPr>
        <w:tc>
          <w:tcPr>
            <w:tcW w:w="816" w:type="dxa"/>
            <w:tcBorders>
              <w:top w:val="single" w:sz="4" w:space="0" w:color="000000"/>
              <w:left w:val="single" w:sz="4" w:space="0" w:color="000000"/>
              <w:bottom w:val="nil"/>
              <w:right w:val="single" w:sz="4" w:space="0" w:color="000000"/>
            </w:tcBorders>
            <w:shd w:val="clear" w:color="auto" w:fill="auto"/>
            <w:noWrap/>
            <w:vAlign w:val="center"/>
            <w:hideMark/>
          </w:tcPr>
          <w:p w14:paraId="0C7515E0" w14:textId="3949708B" w:rsidR="00FD7EBD" w:rsidRPr="00132EEE" w:rsidRDefault="00FD7EBD" w:rsidP="00FD7EBD">
            <w:r>
              <w:rPr>
                <w:rFonts w:ascii="Calibri" w:hAnsi="Calibri"/>
                <w:color w:val="000000"/>
                <w:sz w:val="22"/>
                <w:szCs w:val="22"/>
              </w:rPr>
              <w:t>5</w:t>
            </w:r>
          </w:p>
        </w:tc>
        <w:tc>
          <w:tcPr>
            <w:tcW w:w="2294" w:type="dxa"/>
            <w:tcBorders>
              <w:top w:val="single" w:sz="4" w:space="0" w:color="000000"/>
              <w:left w:val="nil"/>
              <w:bottom w:val="nil"/>
              <w:right w:val="single" w:sz="4" w:space="0" w:color="000000"/>
            </w:tcBorders>
            <w:shd w:val="clear" w:color="auto" w:fill="auto"/>
            <w:vAlign w:val="center"/>
            <w:hideMark/>
          </w:tcPr>
          <w:p w14:paraId="02D4E87A" w14:textId="382F7EAA" w:rsidR="00FD7EBD" w:rsidRPr="00132EEE" w:rsidRDefault="00FD7EBD" w:rsidP="00FD7EBD">
            <w:r>
              <w:rPr>
                <w:rFonts w:ascii="Calibri" w:hAnsi="Calibri"/>
              </w:rPr>
              <w:t>COCAMIDE DEA, klarowna żółta ,lepka ciecz, PH 1%, r-</w:t>
            </w:r>
            <w:proofErr w:type="spellStart"/>
            <w:r>
              <w:rPr>
                <w:rFonts w:ascii="Calibri" w:hAnsi="Calibri"/>
              </w:rPr>
              <w:t>ru</w:t>
            </w:r>
            <w:proofErr w:type="spellEnd"/>
            <w:r>
              <w:rPr>
                <w:rFonts w:ascii="Calibri" w:hAnsi="Calibri"/>
              </w:rPr>
              <w:t xml:space="preserve"> : max 11. Zawartość wody max 0,5%, opakowanie - </w:t>
            </w:r>
            <w:proofErr w:type="spellStart"/>
            <w:r>
              <w:rPr>
                <w:rFonts w:ascii="Calibri" w:hAnsi="Calibri"/>
              </w:rPr>
              <w:t>paletopojemnik</w:t>
            </w:r>
            <w:proofErr w:type="spellEnd"/>
            <w:r>
              <w:rPr>
                <w:rFonts w:ascii="Calibri" w:hAnsi="Calibri"/>
              </w:rPr>
              <w:t xml:space="preserve"> 1000kg</w:t>
            </w:r>
          </w:p>
        </w:tc>
        <w:tc>
          <w:tcPr>
            <w:tcW w:w="704" w:type="dxa"/>
            <w:tcBorders>
              <w:top w:val="nil"/>
              <w:left w:val="nil"/>
              <w:bottom w:val="nil"/>
              <w:right w:val="single" w:sz="4" w:space="0" w:color="000000"/>
            </w:tcBorders>
            <w:shd w:val="clear" w:color="auto" w:fill="auto"/>
            <w:noWrap/>
            <w:vAlign w:val="center"/>
            <w:hideMark/>
          </w:tcPr>
          <w:p w14:paraId="3CE74957" w14:textId="584A2D66" w:rsidR="00FD7EBD" w:rsidRPr="00132EEE" w:rsidRDefault="00FD7EBD" w:rsidP="00FD7EBD">
            <w:r>
              <w:rPr>
                <w:rFonts w:ascii="Calibri" w:hAnsi="Calibri"/>
                <w:color w:val="000000"/>
              </w:rPr>
              <w:t>kg</w:t>
            </w:r>
          </w:p>
        </w:tc>
        <w:tc>
          <w:tcPr>
            <w:tcW w:w="859" w:type="dxa"/>
            <w:tcBorders>
              <w:top w:val="nil"/>
              <w:left w:val="nil"/>
              <w:bottom w:val="nil"/>
              <w:right w:val="single" w:sz="4" w:space="0" w:color="000000"/>
            </w:tcBorders>
            <w:shd w:val="clear" w:color="auto" w:fill="auto"/>
            <w:noWrap/>
            <w:vAlign w:val="center"/>
            <w:hideMark/>
          </w:tcPr>
          <w:p w14:paraId="0FF57137" w14:textId="4B9BDE56" w:rsidR="00FD7EBD" w:rsidRPr="00132EEE" w:rsidRDefault="00FD7EBD" w:rsidP="00FD7EBD">
            <w:r>
              <w:rPr>
                <w:rFonts w:ascii="Calibri" w:hAnsi="Calibri"/>
                <w:color w:val="000000"/>
              </w:rPr>
              <w:t>1 500</w:t>
            </w:r>
          </w:p>
        </w:tc>
        <w:tc>
          <w:tcPr>
            <w:tcW w:w="1134" w:type="dxa"/>
            <w:noWrap/>
          </w:tcPr>
          <w:p w14:paraId="560516F5" w14:textId="316215B4" w:rsidR="00FD7EBD" w:rsidRPr="00132EEE" w:rsidRDefault="00FD7EBD" w:rsidP="00FD7EBD"/>
        </w:tc>
        <w:tc>
          <w:tcPr>
            <w:tcW w:w="1134" w:type="dxa"/>
            <w:noWrap/>
          </w:tcPr>
          <w:p w14:paraId="1C4E95E4" w14:textId="5A1D4EBA" w:rsidR="00FD7EBD" w:rsidRPr="00132EEE" w:rsidRDefault="00FD7EBD" w:rsidP="00FD7EBD"/>
        </w:tc>
        <w:tc>
          <w:tcPr>
            <w:tcW w:w="851" w:type="dxa"/>
            <w:noWrap/>
          </w:tcPr>
          <w:p w14:paraId="0DD8F9FD" w14:textId="66C97869" w:rsidR="00FD7EBD" w:rsidRPr="00132EEE" w:rsidRDefault="00FD7EBD" w:rsidP="00FD7EBD"/>
        </w:tc>
        <w:tc>
          <w:tcPr>
            <w:tcW w:w="1417" w:type="dxa"/>
            <w:noWrap/>
          </w:tcPr>
          <w:p w14:paraId="555C38E1" w14:textId="042DA96D" w:rsidR="00FD7EBD" w:rsidRPr="00132EEE" w:rsidRDefault="00FD7EBD" w:rsidP="00FD7EBD"/>
        </w:tc>
      </w:tr>
      <w:tr w:rsidR="00FD7EBD" w:rsidRPr="00132EEE" w14:paraId="649B4933" w14:textId="77777777" w:rsidTr="00520BD3">
        <w:trPr>
          <w:trHeight w:val="1425"/>
        </w:trPr>
        <w:tc>
          <w:tcPr>
            <w:tcW w:w="816" w:type="dxa"/>
            <w:tcBorders>
              <w:top w:val="single" w:sz="4" w:space="0" w:color="000000"/>
              <w:left w:val="single" w:sz="4" w:space="0" w:color="000000"/>
              <w:bottom w:val="single" w:sz="4" w:space="0" w:color="auto"/>
              <w:right w:val="nil"/>
            </w:tcBorders>
            <w:shd w:val="clear" w:color="auto" w:fill="auto"/>
            <w:noWrap/>
            <w:vAlign w:val="center"/>
            <w:hideMark/>
          </w:tcPr>
          <w:p w14:paraId="4759642E" w14:textId="5668DDB1" w:rsidR="00FD7EBD" w:rsidRPr="00132EEE" w:rsidRDefault="00FD7EBD" w:rsidP="00FD7EBD">
            <w:r>
              <w:rPr>
                <w:rFonts w:ascii="Calibri" w:hAnsi="Calibri"/>
                <w:color w:val="000000"/>
                <w:sz w:val="22"/>
                <w:szCs w:val="22"/>
              </w:rPr>
              <w:lastRenderedPageBreak/>
              <w:t>6</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09DC" w14:textId="75CE4AE1" w:rsidR="00FD7EBD" w:rsidRPr="00132EEE" w:rsidRDefault="00FD7EBD" w:rsidP="00FD7EBD">
            <w:r>
              <w:rPr>
                <w:rFonts w:ascii="Calibri" w:hAnsi="Calibri"/>
                <w:sz w:val="18"/>
                <w:szCs w:val="18"/>
              </w:rPr>
              <w:t xml:space="preserve">Mydło w proszku białe. Zużywane do produkcji proszku do </w:t>
            </w:r>
            <w:proofErr w:type="spellStart"/>
            <w:r>
              <w:rPr>
                <w:rFonts w:ascii="Calibri" w:hAnsi="Calibri"/>
                <w:sz w:val="18"/>
                <w:szCs w:val="18"/>
              </w:rPr>
              <w:t>prania.Proszek</w:t>
            </w:r>
            <w:proofErr w:type="spellEnd"/>
            <w:r>
              <w:rPr>
                <w:rFonts w:ascii="Calibri" w:hAnsi="Calibri"/>
                <w:sz w:val="18"/>
                <w:szCs w:val="18"/>
              </w:rPr>
              <w:t xml:space="preserve"> barwy białej o zapachu mydlanym. Worki 25 kg</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7E380BE5" w14:textId="69610194" w:rsidR="00FD7EBD" w:rsidRPr="00132EEE" w:rsidRDefault="00FD7EBD" w:rsidP="00FD7EBD">
            <w:r>
              <w:rPr>
                <w:rFonts w:ascii="Calibri" w:hAnsi="Calibri"/>
                <w:color w:val="000000"/>
              </w:rPr>
              <w:t>kg</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72D3B44" w14:textId="45F36747" w:rsidR="00FD7EBD" w:rsidRPr="00132EEE" w:rsidRDefault="00FD7EBD" w:rsidP="00FD7EBD">
            <w:r>
              <w:rPr>
                <w:rFonts w:ascii="Calibri" w:hAnsi="Calibri"/>
                <w:color w:val="000000"/>
              </w:rPr>
              <w:t>1 500</w:t>
            </w:r>
          </w:p>
        </w:tc>
        <w:tc>
          <w:tcPr>
            <w:tcW w:w="1134" w:type="dxa"/>
            <w:noWrap/>
          </w:tcPr>
          <w:p w14:paraId="2D4768E9" w14:textId="0BFCCD6B" w:rsidR="00FD7EBD" w:rsidRPr="00132EEE" w:rsidRDefault="00FD7EBD" w:rsidP="00FD7EBD"/>
        </w:tc>
        <w:tc>
          <w:tcPr>
            <w:tcW w:w="1134" w:type="dxa"/>
            <w:noWrap/>
          </w:tcPr>
          <w:p w14:paraId="279077E1" w14:textId="1DB6E1B0" w:rsidR="00FD7EBD" w:rsidRPr="00132EEE" w:rsidRDefault="00FD7EBD" w:rsidP="00FD7EBD"/>
        </w:tc>
        <w:tc>
          <w:tcPr>
            <w:tcW w:w="851" w:type="dxa"/>
            <w:noWrap/>
          </w:tcPr>
          <w:p w14:paraId="6C53C648" w14:textId="3CA4EA22" w:rsidR="00FD7EBD" w:rsidRPr="00132EEE" w:rsidRDefault="00FD7EBD" w:rsidP="00FD7EBD"/>
        </w:tc>
        <w:tc>
          <w:tcPr>
            <w:tcW w:w="1417" w:type="dxa"/>
            <w:noWrap/>
          </w:tcPr>
          <w:p w14:paraId="18FAB26A" w14:textId="1AE775F5" w:rsidR="00FD7EBD" w:rsidRPr="00132EEE" w:rsidRDefault="00FD7EBD" w:rsidP="00FD7EBD"/>
        </w:tc>
      </w:tr>
      <w:tr w:rsidR="00FD7EBD" w:rsidRPr="00132EEE" w14:paraId="755E40B1" w14:textId="77777777" w:rsidTr="00520BD3">
        <w:trPr>
          <w:trHeight w:val="1500"/>
        </w:trPr>
        <w:tc>
          <w:tcPr>
            <w:tcW w:w="816" w:type="dxa"/>
            <w:tcBorders>
              <w:top w:val="nil"/>
              <w:left w:val="single" w:sz="4" w:space="0" w:color="000000"/>
              <w:bottom w:val="single" w:sz="4" w:space="0" w:color="auto"/>
              <w:right w:val="nil"/>
            </w:tcBorders>
            <w:shd w:val="clear" w:color="auto" w:fill="auto"/>
            <w:noWrap/>
            <w:vAlign w:val="center"/>
            <w:hideMark/>
          </w:tcPr>
          <w:p w14:paraId="34540850" w14:textId="6A17215B" w:rsidR="00FD7EBD" w:rsidRPr="00132EEE" w:rsidRDefault="00FD7EBD" w:rsidP="00FD7EBD">
            <w:r>
              <w:rPr>
                <w:rFonts w:ascii="Calibri" w:hAnsi="Calibri"/>
                <w:color w:val="000000"/>
                <w:sz w:val="22"/>
                <w:szCs w:val="22"/>
              </w:rPr>
              <w:t>7</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B64A" w14:textId="1C522FEE" w:rsidR="00FD7EBD" w:rsidRPr="00132EEE" w:rsidRDefault="00FD7EBD" w:rsidP="00FD7EBD">
            <w:r>
              <w:rPr>
                <w:rFonts w:ascii="Calibri" w:hAnsi="Calibri"/>
                <w:sz w:val="18"/>
                <w:szCs w:val="18"/>
              </w:rPr>
              <w:t>KWAS ABS –o zawartości substancji aktywnej powyżej 90%. Zastosowanie: jako środek powierzchniowo czynny w produkcji detergentów.</w:t>
            </w:r>
            <w:r>
              <w:rPr>
                <w:rFonts w:ascii="Calibri" w:hAnsi="Calibri"/>
                <w:sz w:val="18"/>
                <w:szCs w:val="18"/>
              </w:rPr>
              <w:br/>
              <w:t xml:space="preserve">Właściwości: Postać: lepka ciecz, kolor: od ciemnobrunatnej do czarnej. </w:t>
            </w:r>
            <w:r>
              <w:rPr>
                <w:rFonts w:ascii="Calibri" w:hAnsi="Calibri"/>
                <w:sz w:val="18"/>
                <w:szCs w:val="18"/>
              </w:rPr>
              <w:br/>
              <w:t>Zastosowanie surowca: anionowy środek powierzchniowo czynny, stosowany jako składnik ciekłych i proszkowych środków myjących, czyszczących i piorących.</w:t>
            </w:r>
            <w:r>
              <w:rPr>
                <w:rFonts w:ascii="Calibri" w:hAnsi="Calibri"/>
                <w:sz w:val="18"/>
                <w:szCs w:val="18"/>
              </w:rPr>
              <w:br/>
              <w:t>Wyrób ma postać kwaśną i może być poddawany neutralizacji</w:t>
            </w:r>
            <w:r>
              <w:rPr>
                <w:rFonts w:ascii="Calibri" w:hAnsi="Calibri"/>
                <w:sz w:val="18"/>
                <w:szCs w:val="18"/>
              </w:rPr>
              <w:br/>
              <w:t>Opakowanie: worki 25 kg.</w:t>
            </w:r>
          </w:p>
        </w:tc>
        <w:tc>
          <w:tcPr>
            <w:tcW w:w="704" w:type="dxa"/>
            <w:tcBorders>
              <w:top w:val="nil"/>
              <w:left w:val="nil"/>
              <w:bottom w:val="single" w:sz="4" w:space="0" w:color="auto"/>
              <w:right w:val="single" w:sz="4" w:space="0" w:color="auto"/>
            </w:tcBorders>
            <w:shd w:val="clear" w:color="auto" w:fill="auto"/>
            <w:noWrap/>
            <w:vAlign w:val="center"/>
            <w:hideMark/>
          </w:tcPr>
          <w:p w14:paraId="3990E477" w14:textId="7C34476E" w:rsidR="00FD7EBD" w:rsidRPr="00132EEE" w:rsidRDefault="00FD7EBD" w:rsidP="00FD7EBD">
            <w:r>
              <w:rPr>
                <w:rFonts w:ascii="Calibri" w:hAnsi="Calibri"/>
                <w:color w:val="000000"/>
              </w:rPr>
              <w:t>kg</w:t>
            </w:r>
          </w:p>
        </w:tc>
        <w:tc>
          <w:tcPr>
            <w:tcW w:w="859" w:type="dxa"/>
            <w:tcBorders>
              <w:top w:val="nil"/>
              <w:left w:val="nil"/>
              <w:bottom w:val="single" w:sz="4" w:space="0" w:color="auto"/>
              <w:right w:val="single" w:sz="4" w:space="0" w:color="auto"/>
            </w:tcBorders>
            <w:shd w:val="clear" w:color="auto" w:fill="auto"/>
            <w:noWrap/>
            <w:vAlign w:val="center"/>
            <w:hideMark/>
          </w:tcPr>
          <w:p w14:paraId="069969D3" w14:textId="6B600B4F" w:rsidR="00FD7EBD" w:rsidRPr="00132EEE" w:rsidRDefault="00FD7EBD" w:rsidP="00FD7EBD">
            <w:r>
              <w:rPr>
                <w:rFonts w:ascii="Calibri" w:hAnsi="Calibri"/>
                <w:color w:val="000000"/>
              </w:rPr>
              <w:t>1 500</w:t>
            </w:r>
          </w:p>
        </w:tc>
        <w:tc>
          <w:tcPr>
            <w:tcW w:w="1134" w:type="dxa"/>
            <w:noWrap/>
          </w:tcPr>
          <w:p w14:paraId="467D66CB" w14:textId="4AB65459" w:rsidR="00FD7EBD" w:rsidRPr="00132EEE" w:rsidRDefault="00FD7EBD" w:rsidP="00FD7EBD"/>
        </w:tc>
        <w:tc>
          <w:tcPr>
            <w:tcW w:w="1134" w:type="dxa"/>
            <w:noWrap/>
          </w:tcPr>
          <w:p w14:paraId="53DD5ADA" w14:textId="506195A2" w:rsidR="00FD7EBD" w:rsidRPr="00132EEE" w:rsidRDefault="00FD7EBD" w:rsidP="00FD7EBD"/>
        </w:tc>
        <w:tc>
          <w:tcPr>
            <w:tcW w:w="851" w:type="dxa"/>
            <w:noWrap/>
          </w:tcPr>
          <w:p w14:paraId="6DF3469E" w14:textId="3B47E679" w:rsidR="00FD7EBD" w:rsidRPr="00132EEE" w:rsidRDefault="00FD7EBD" w:rsidP="00FD7EBD"/>
        </w:tc>
        <w:tc>
          <w:tcPr>
            <w:tcW w:w="1417" w:type="dxa"/>
            <w:noWrap/>
          </w:tcPr>
          <w:p w14:paraId="0F59715A" w14:textId="7C614959" w:rsidR="00FD7EBD" w:rsidRPr="00132EEE" w:rsidRDefault="00FD7EBD" w:rsidP="00FD7EBD"/>
        </w:tc>
      </w:tr>
    </w:tbl>
    <w:p w14:paraId="7F94366A" w14:textId="77777777" w:rsidR="00B0420C" w:rsidRDefault="00B0420C" w:rsidP="003E116C"/>
    <w:p w14:paraId="73F88E92" w14:textId="77777777" w:rsidR="00B0420C" w:rsidRDefault="00B0420C" w:rsidP="003E116C"/>
    <w:p w14:paraId="21825FDE" w14:textId="77777777" w:rsidR="00B0420C" w:rsidRDefault="00B0420C" w:rsidP="003E116C"/>
    <w:p w14:paraId="21A47F9F" w14:textId="77777777" w:rsidR="00B0420C" w:rsidRDefault="00B0420C" w:rsidP="003E116C"/>
    <w:p w14:paraId="3EC0C48A" w14:textId="77777777" w:rsidR="00B0420C" w:rsidRDefault="00B0420C" w:rsidP="003E116C"/>
    <w:sectPr w:rsidR="00B0420C" w:rsidSect="00620E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22D1"/>
    <w:rsid w:val="0002301A"/>
    <w:rsid w:val="00025072"/>
    <w:rsid w:val="00046AA5"/>
    <w:rsid w:val="00051646"/>
    <w:rsid w:val="00053553"/>
    <w:rsid w:val="000610AF"/>
    <w:rsid w:val="00075A70"/>
    <w:rsid w:val="00090552"/>
    <w:rsid w:val="00096483"/>
    <w:rsid w:val="00097248"/>
    <w:rsid w:val="000A422F"/>
    <w:rsid w:val="000A528A"/>
    <w:rsid w:val="000B57CF"/>
    <w:rsid w:val="000F1401"/>
    <w:rsid w:val="000F2698"/>
    <w:rsid w:val="00106F79"/>
    <w:rsid w:val="00107AB9"/>
    <w:rsid w:val="0011576E"/>
    <w:rsid w:val="00132EE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72F97"/>
    <w:rsid w:val="00280D01"/>
    <w:rsid w:val="00282211"/>
    <w:rsid w:val="0028413C"/>
    <w:rsid w:val="00284D24"/>
    <w:rsid w:val="002B1432"/>
    <w:rsid w:val="002D02F3"/>
    <w:rsid w:val="00306508"/>
    <w:rsid w:val="0030651D"/>
    <w:rsid w:val="003126AA"/>
    <w:rsid w:val="003214DA"/>
    <w:rsid w:val="00340554"/>
    <w:rsid w:val="00364B1F"/>
    <w:rsid w:val="003726A5"/>
    <w:rsid w:val="0039245C"/>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530247"/>
    <w:rsid w:val="005459CA"/>
    <w:rsid w:val="00547C55"/>
    <w:rsid w:val="00555D7A"/>
    <w:rsid w:val="00570318"/>
    <w:rsid w:val="00576238"/>
    <w:rsid w:val="00584D09"/>
    <w:rsid w:val="00594656"/>
    <w:rsid w:val="00595F50"/>
    <w:rsid w:val="005A0C12"/>
    <w:rsid w:val="005A37CB"/>
    <w:rsid w:val="005B0710"/>
    <w:rsid w:val="005B3002"/>
    <w:rsid w:val="005C1007"/>
    <w:rsid w:val="005C2C18"/>
    <w:rsid w:val="005C3C07"/>
    <w:rsid w:val="005F6D1C"/>
    <w:rsid w:val="00603586"/>
    <w:rsid w:val="006077E1"/>
    <w:rsid w:val="00620E7E"/>
    <w:rsid w:val="0063589A"/>
    <w:rsid w:val="00652A39"/>
    <w:rsid w:val="00667EA3"/>
    <w:rsid w:val="006777E4"/>
    <w:rsid w:val="006C1B66"/>
    <w:rsid w:val="006D1BFD"/>
    <w:rsid w:val="006F2F84"/>
    <w:rsid w:val="00702C19"/>
    <w:rsid w:val="00732C62"/>
    <w:rsid w:val="007358AB"/>
    <w:rsid w:val="00741166"/>
    <w:rsid w:val="00762B76"/>
    <w:rsid w:val="007641F6"/>
    <w:rsid w:val="0077021D"/>
    <w:rsid w:val="007872D8"/>
    <w:rsid w:val="00787934"/>
    <w:rsid w:val="00794581"/>
    <w:rsid w:val="007A26D2"/>
    <w:rsid w:val="007B4943"/>
    <w:rsid w:val="007B601E"/>
    <w:rsid w:val="007D6D0C"/>
    <w:rsid w:val="00810DE2"/>
    <w:rsid w:val="00812817"/>
    <w:rsid w:val="00813654"/>
    <w:rsid w:val="00834E5D"/>
    <w:rsid w:val="00843599"/>
    <w:rsid w:val="008A3786"/>
    <w:rsid w:val="008A3EF9"/>
    <w:rsid w:val="008B1D24"/>
    <w:rsid w:val="008E11B3"/>
    <w:rsid w:val="00902791"/>
    <w:rsid w:val="00903107"/>
    <w:rsid w:val="0090440B"/>
    <w:rsid w:val="009137F4"/>
    <w:rsid w:val="00923BD7"/>
    <w:rsid w:val="00941BD9"/>
    <w:rsid w:val="00980970"/>
    <w:rsid w:val="009968FF"/>
    <w:rsid w:val="009A1928"/>
    <w:rsid w:val="009A4465"/>
    <w:rsid w:val="009C1C40"/>
    <w:rsid w:val="009D1F3C"/>
    <w:rsid w:val="009D4021"/>
    <w:rsid w:val="00A06EAB"/>
    <w:rsid w:val="00A07B43"/>
    <w:rsid w:val="00A16C88"/>
    <w:rsid w:val="00A2153F"/>
    <w:rsid w:val="00A274ED"/>
    <w:rsid w:val="00A27999"/>
    <w:rsid w:val="00A3164C"/>
    <w:rsid w:val="00A319EF"/>
    <w:rsid w:val="00A51224"/>
    <w:rsid w:val="00A619A2"/>
    <w:rsid w:val="00A94979"/>
    <w:rsid w:val="00A96FEF"/>
    <w:rsid w:val="00A97CC7"/>
    <w:rsid w:val="00AA73E2"/>
    <w:rsid w:val="00AA7F85"/>
    <w:rsid w:val="00AC0E81"/>
    <w:rsid w:val="00AC2371"/>
    <w:rsid w:val="00AC5326"/>
    <w:rsid w:val="00AD723F"/>
    <w:rsid w:val="00AE6201"/>
    <w:rsid w:val="00B0249D"/>
    <w:rsid w:val="00B0420C"/>
    <w:rsid w:val="00B06BAF"/>
    <w:rsid w:val="00B12CBC"/>
    <w:rsid w:val="00B12FEB"/>
    <w:rsid w:val="00B20E69"/>
    <w:rsid w:val="00B21D67"/>
    <w:rsid w:val="00B233EE"/>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1C7F"/>
    <w:rsid w:val="00C7362C"/>
    <w:rsid w:val="00CC2952"/>
    <w:rsid w:val="00CD09B8"/>
    <w:rsid w:val="00CD162B"/>
    <w:rsid w:val="00CE490F"/>
    <w:rsid w:val="00CF16A1"/>
    <w:rsid w:val="00D06E38"/>
    <w:rsid w:val="00D21657"/>
    <w:rsid w:val="00D40647"/>
    <w:rsid w:val="00D5556F"/>
    <w:rsid w:val="00D65252"/>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503A3"/>
    <w:rsid w:val="00E666C6"/>
    <w:rsid w:val="00E75D69"/>
    <w:rsid w:val="00E767C7"/>
    <w:rsid w:val="00E82B0F"/>
    <w:rsid w:val="00E87D65"/>
    <w:rsid w:val="00EA1E4E"/>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D7EB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table" w:styleId="Tabela-Siatka">
    <w:name w:val="Table Grid"/>
    <w:basedOn w:val="Standardowy"/>
    <w:uiPriority w:val="39"/>
    <w:rsid w:val="0013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469057909">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F516-0E62-4B56-B412-D9AAB27B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2988</Words>
  <Characters>17931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Sobiegraj</cp:lastModifiedBy>
  <cp:revision>96</cp:revision>
  <cp:lastPrinted>2022-03-10T12:48:00Z</cp:lastPrinted>
  <dcterms:created xsi:type="dcterms:W3CDTF">2021-04-12T06:38:00Z</dcterms:created>
  <dcterms:modified xsi:type="dcterms:W3CDTF">2022-11-29T07:36:00Z</dcterms:modified>
</cp:coreProperties>
</file>