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9FD7404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A3348">
        <w:rPr>
          <w:rFonts w:asciiTheme="minorHAnsi" w:eastAsia="Calibri" w:hAnsiTheme="minorHAnsi" w:cstheme="minorHAnsi"/>
          <w:b/>
          <w:bCs/>
          <w:sz w:val="22"/>
          <w:szCs w:val="22"/>
        </w:rPr>
        <w:t>26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7E4B8056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7A3348">
        <w:rPr>
          <w:rFonts w:asciiTheme="minorHAnsi" w:eastAsia="Times New Roman" w:hAnsiTheme="minorHAnsi" w:cstheme="minorHAnsi"/>
          <w:sz w:val="22"/>
          <w:szCs w:val="22"/>
        </w:rPr>
        <w:t>Przegląd wentylacji oraz klimatyzacji w Zakładzie Karnym w Raciborzu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DA396B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76B669F" w:rsidR="003F668A" w:rsidRPr="00486092" w:rsidRDefault="007A3348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Przegląd wentylacji oraz klimatyzacji w Zakładzie Karnym w Raciborzu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73</cp:revision>
  <cp:lastPrinted>2023-03-28T07:48:00Z</cp:lastPrinted>
  <dcterms:created xsi:type="dcterms:W3CDTF">2023-03-23T10:02:00Z</dcterms:created>
  <dcterms:modified xsi:type="dcterms:W3CDTF">2023-05-12T07:35:00Z</dcterms:modified>
</cp:coreProperties>
</file>